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D77D6" w14:textId="37D35D44" w:rsidR="004F448A" w:rsidRPr="00DB3907" w:rsidRDefault="004F448A" w:rsidP="004F448A">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 xml:space="preserve">77 </w:t>
      </w:r>
      <w:r w:rsidRPr="00DB3907">
        <w:rPr>
          <w:rFonts w:cs="Courier New"/>
          <w:sz w:val="24"/>
          <w:szCs w:val="24"/>
          <w:lang w:val="de-DE"/>
        </w:rPr>
        <w:tab/>
        <w:t>R4-</w:t>
      </w:r>
      <w:r w:rsidRPr="00454C81">
        <w:rPr>
          <w:rFonts w:cs="Courier New"/>
          <w:sz w:val="24"/>
          <w:szCs w:val="24"/>
          <w:lang w:val="de-DE"/>
        </w:rPr>
        <w:t>15</w:t>
      </w:r>
      <w:r>
        <w:rPr>
          <w:rFonts w:cs="Courier New"/>
          <w:sz w:val="24"/>
          <w:szCs w:val="24"/>
          <w:lang w:val="de-DE"/>
        </w:rPr>
        <w:t>8045</w:t>
      </w:r>
    </w:p>
    <w:p w14:paraId="425B35A4" w14:textId="77777777" w:rsidR="004F448A" w:rsidRPr="00DB3907" w:rsidRDefault="004F448A" w:rsidP="004F448A">
      <w:pPr>
        <w:pStyle w:val="Header"/>
        <w:tabs>
          <w:tab w:val="left" w:pos="6521"/>
        </w:tabs>
        <w:rPr>
          <w:rFonts w:cs="Courier New"/>
          <w:sz w:val="24"/>
          <w:szCs w:val="24"/>
        </w:rPr>
      </w:pPr>
      <w:r>
        <w:rPr>
          <w:rFonts w:cs="Courier New"/>
          <w:sz w:val="24"/>
          <w:szCs w:val="24"/>
        </w:rPr>
        <w:t>November 16</w:t>
      </w:r>
      <w:r>
        <w:rPr>
          <w:rFonts w:cs="Courier New"/>
          <w:sz w:val="24"/>
          <w:szCs w:val="24"/>
          <w:vertAlign w:val="superscript"/>
        </w:rPr>
        <w:t>th</w:t>
      </w:r>
      <w:r w:rsidRPr="00DB3907">
        <w:rPr>
          <w:rFonts w:cs="Courier New"/>
          <w:sz w:val="24"/>
          <w:szCs w:val="24"/>
          <w:vertAlign w:val="superscript"/>
        </w:rPr>
        <w:t xml:space="preserve"> </w:t>
      </w:r>
      <w:r w:rsidRPr="00DB3907">
        <w:rPr>
          <w:rFonts w:cs="Courier New"/>
          <w:sz w:val="24"/>
          <w:szCs w:val="24"/>
        </w:rPr>
        <w:t xml:space="preserve">– </w:t>
      </w:r>
      <w:r>
        <w:rPr>
          <w:rFonts w:cs="Courier New"/>
          <w:sz w:val="24"/>
          <w:szCs w:val="24"/>
        </w:rPr>
        <w:t>20</w:t>
      </w:r>
      <w:r>
        <w:rPr>
          <w:rFonts w:cs="Courier New"/>
          <w:sz w:val="24"/>
          <w:szCs w:val="24"/>
          <w:vertAlign w:val="superscript"/>
        </w:rPr>
        <w:t>th</w:t>
      </w:r>
      <w:r>
        <w:rPr>
          <w:rFonts w:cs="Courier New"/>
          <w:sz w:val="24"/>
          <w:szCs w:val="24"/>
        </w:rPr>
        <w:t>, 2015</w:t>
      </w:r>
    </w:p>
    <w:p w14:paraId="4025B9CE" w14:textId="276AC570" w:rsidR="004F448A" w:rsidRPr="00DB3907" w:rsidRDefault="004F448A" w:rsidP="004F448A">
      <w:pPr>
        <w:pStyle w:val="Header"/>
        <w:rPr>
          <w:rFonts w:cs="Courier New"/>
          <w:sz w:val="24"/>
          <w:szCs w:val="24"/>
        </w:rPr>
      </w:pPr>
      <w:r w:rsidRPr="00D86163">
        <w:rPr>
          <w:rFonts w:cs="Courier New"/>
          <w:sz w:val="24"/>
          <w:szCs w:val="24"/>
        </w:rPr>
        <w:t>Anaheim</w:t>
      </w:r>
      <w:r>
        <w:rPr>
          <w:rFonts w:cs="Courier New"/>
          <w:sz w:val="24"/>
          <w:szCs w:val="24"/>
        </w:rPr>
        <w:t>, US</w:t>
      </w:r>
      <w:r w:rsidR="00E209E6">
        <w:rPr>
          <w:rFonts w:cs="Courier New"/>
          <w:sz w:val="24"/>
          <w:szCs w:val="24"/>
        </w:rPr>
        <w:t>A</w:t>
      </w:r>
      <w:bookmarkStart w:id="0" w:name="_GoBack"/>
      <w:bookmarkEnd w:id="0"/>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1D30066F"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859A6">
        <w:rPr>
          <w:rFonts w:ascii="Arial" w:hAnsi="Arial"/>
          <w:sz w:val="24"/>
          <w:lang w:val="en-US"/>
        </w:rPr>
        <w:t>7.13.3</w:t>
      </w:r>
    </w:p>
    <w:p w14:paraId="46BB2561" w14:textId="6E288BC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 xml:space="preserve">Qualcomm </w:t>
      </w:r>
      <w:r w:rsidR="006859A6">
        <w:rPr>
          <w:rFonts w:ascii="Arial" w:hAnsi="Arial"/>
          <w:sz w:val="24"/>
          <w:lang w:val="en-US"/>
        </w:rPr>
        <w:t>Incorporated</w:t>
      </w:r>
    </w:p>
    <w:p w14:paraId="1495DFFE" w14:textId="24393424"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F448A">
        <w:rPr>
          <w:rFonts w:ascii="Arial" w:hAnsi="Arial"/>
          <w:sz w:val="24"/>
          <w:lang w:val="en-US"/>
        </w:rPr>
        <w:t>On Base Station and ACLR for LAA</w:t>
      </w:r>
    </w:p>
    <w:p w14:paraId="54BEE060"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15953">
        <w:rPr>
          <w:rFonts w:ascii="Arial" w:hAnsi="Arial"/>
          <w:sz w:val="24"/>
          <w:lang w:val="en-US"/>
        </w:rPr>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416042B2" w14:textId="02F4EFC4" w:rsidR="00F52796" w:rsidRDefault="001507EE" w:rsidP="007212EA">
      <w:pPr>
        <w:jc w:val="both"/>
        <w:rPr>
          <w:lang w:val="en-US"/>
        </w:rPr>
      </w:pPr>
      <w:r>
        <w:rPr>
          <w:lang w:val="en-US"/>
        </w:rPr>
        <w:t>In RAN4</w:t>
      </w:r>
      <w:r w:rsidR="00C12B01">
        <w:rPr>
          <w:lang w:val="en-US"/>
        </w:rPr>
        <w:t xml:space="preserve"> </w:t>
      </w:r>
      <w:r>
        <w:rPr>
          <w:lang w:val="en-US"/>
        </w:rPr>
        <w:t>#76</w:t>
      </w:r>
      <w:r w:rsidR="004F448A">
        <w:rPr>
          <w:lang w:val="en-US"/>
        </w:rPr>
        <w:t>bis</w:t>
      </w:r>
      <w:r>
        <w:rPr>
          <w:lang w:val="en-US"/>
        </w:rPr>
        <w:t xml:space="preserve"> held in </w:t>
      </w:r>
      <w:r w:rsidR="004F448A">
        <w:rPr>
          <w:lang w:val="en-US"/>
        </w:rPr>
        <w:t>Sophia Antipolis</w:t>
      </w:r>
      <w:r>
        <w:rPr>
          <w:lang w:val="en-US"/>
        </w:rPr>
        <w:t xml:space="preserve">, many contributions </w:t>
      </w:r>
      <w:r w:rsidR="00835AF8">
        <w:rPr>
          <w:lang w:val="en-US"/>
        </w:rPr>
        <w:t xml:space="preserve">on </w:t>
      </w:r>
      <w:r>
        <w:rPr>
          <w:lang w:val="en-US"/>
        </w:rPr>
        <w:t>BS requirements for LAA</w:t>
      </w:r>
      <w:r w:rsidR="00835AF8">
        <w:rPr>
          <w:lang w:val="en-US"/>
        </w:rPr>
        <w:t xml:space="preserve"> were presented</w:t>
      </w:r>
      <w:r>
        <w:rPr>
          <w:lang w:val="en-US"/>
        </w:rPr>
        <w:t xml:space="preserve">. Several aspects were discussed, including </w:t>
      </w:r>
      <w:r w:rsidR="005C614B">
        <w:rPr>
          <w:lang w:val="en-US"/>
        </w:rPr>
        <w:t>ACLR</w:t>
      </w:r>
      <w:r w:rsidR="004F448A">
        <w:rPr>
          <w:lang w:val="en-US"/>
        </w:rPr>
        <w:t>, Unwanted Emission Mask (UEM) and spurious emission limits</w:t>
      </w:r>
      <w:r w:rsidR="005C614B">
        <w:rPr>
          <w:lang w:val="en-US"/>
        </w:rPr>
        <w:t xml:space="preserve"> for LAA base stations. </w:t>
      </w:r>
      <w:r w:rsidR="004C288B">
        <w:rPr>
          <w:lang w:val="en-US"/>
        </w:rPr>
        <w:t>In this contribution we provide</w:t>
      </w:r>
      <w:r w:rsidR="005C614B">
        <w:rPr>
          <w:lang w:val="en-US"/>
        </w:rPr>
        <w:t xml:space="preserve"> general observations on how the BS requirements for unlicensed spectrum should be derived</w:t>
      </w:r>
      <w:r w:rsidR="00835AF8">
        <w:rPr>
          <w:lang w:val="en-US"/>
        </w:rPr>
        <w:t xml:space="preserve">. In particular we give an overview of several </w:t>
      </w:r>
      <w:r w:rsidR="005C614B">
        <w:rPr>
          <w:lang w:val="en-US"/>
        </w:rPr>
        <w:t xml:space="preserve">additional factors </w:t>
      </w:r>
      <w:r w:rsidR="00835AF8">
        <w:rPr>
          <w:lang w:val="en-US"/>
        </w:rPr>
        <w:t xml:space="preserve">which should be taken into account when defining </w:t>
      </w:r>
      <w:r w:rsidR="004C288B">
        <w:rPr>
          <w:lang w:val="en-US"/>
        </w:rPr>
        <w:t xml:space="preserve">RF minimum </w:t>
      </w:r>
      <w:r w:rsidR="00835AF8">
        <w:rPr>
          <w:lang w:val="en-US"/>
        </w:rPr>
        <w:t>requirements in unlicensed spectrum.</w:t>
      </w:r>
      <w:r w:rsidR="004F448A">
        <w:rPr>
          <w:lang w:val="en-US"/>
        </w:rPr>
        <w:t xml:space="preserve"> We also make proposal</w:t>
      </w:r>
      <w:r w:rsidR="00C24B3E">
        <w:rPr>
          <w:lang w:val="en-US"/>
        </w:rPr>
        <w:t>s</w:t>
      </w:r>
      <w:r w:rsidR="004F448A">
        <w:rPr>
          <w:lang w:val="en-US"/>
        </w:rPr>
        <w:t xml:space="preserve"> for BS ACLR</w:t>
      </w:r>
      <w:r w:rsidR="00C24B3E">
        <w:rPr>
          <w:lang w:val="en-US"/>
        </w:rPr>
        <w:t xml:space="preserve"> and UEM</w:t>
      </w:r>
      <w:r w:rsidR="004F448A">
        <w:rPr>
          <w:lang w:val="en-US"/>
        </w:rPr>
        <w:t xml:space="preserve"> for LAA.</w:t>
      </w:r>
    </w:p>
    <w:p w14:paraId="24EB89A5" w14:textId="77777777" w:rsidR="007C6E00" w:rsidRDefault="007C6E00" w:rsidP="007C6E00">
      <w:pPr>
        <w:pStyle w:val="Heading1"/>
        <w:tabs>
          <w:tab w:val="clear" w:pos="432"/>
          <w:tab w:val="num" w:pos="522"/>
        </w:tabs>
        <w:ind w:left="522" w:hanging="522"/>
        <w:rPr>
          <w:lang w:val="en-US"/>
        </w:rPr>
      </w:pPr>
      <w:r>
        <w:rPr>
          <w:lang w:val="en-US"/>
        </w:rPr>
        <w:t>Discussion</w:t>
      </w:r>
    </w:p>
    <w:p w14:paraId="6164BF82" w14:textId="3CAE86E2" w:rsidR="008A0771" w:rsidRPr="007212EA" w:rsidRDefault="005C614B" w:rsidP="004F448A">
      <w:pPr>
        <w:jc w:val="both"/>
        <w:rPr>
          <w:i/>
          <w:lang w:val="en-US"/>
        </w:rPr>
      </w:pPr>
      <w:r>
        <w:t xml:space="preserve">RAN4 is currently working on defining the minimum RF requirements for LAA. This implies that existing requirements provided for legacy licensed bands need to be carefully reviewed in the context of LAA </w:t>
      </w:r>
      <w:r w:rsidR="00835AF8">
        <w:t>operating</w:t>
      </w:r>
      <w:r>
        <w:t xml:space="preserve"> in unlicensed spectrum. In particular, RAN4 has the challenging task to define </w:t>
      </w:r>
      <w:r w:rsidR="00835AF8">
        <w:t xml:space="preserve">the </w:t>
      </w:r>
      <w:r>
        <w:t xml:space="preserve">core requirements for a scenario completely new. One aspect to be taken into account is for instance the different interference </w:t>
      </w:r>
      <w:r w:rsidR="00835AF8">
        <w:t>environment</w:t>
      </w:r>
      <w:r>
        <w:t xml:space="preserve"> perceivable in the 5GH</w:t>
      </w:r>
      <w:r w:rsidR="00835AF8">
        <w:t>z</w:t>
      </w:r>
      <w:r>
        <w:t xml:space="preserve"> unlicensed spectrum. From this perspective RAN4 already agreed on</w:t>
      </w:r>
      <w:r w:rsidR="00835AF8">
        <w:t xml:space="preserve"> some</w:t>
      </w:r>
      <w:r>
        <w:t xml:space="preserve"> specific guidelines which were included in LAA technical report </w:t>
      </w:r>
      <w:r>
        <w:fldChar w:fldCharType="begin"/>
      </w:r>
      <w:r>
        <w:instrText xml:space="preserve"> REF _Ref425857735 \r \h </w:instrText>
      </w:r>
      <w:r>
        <w:fldChar w:fldCharType="separate"/>
      </w:r>
      <w:r w:rsidR="00917E02">
        <w:t>[1]</w:t>
      </w:r>
      <w:r>
        <w:fldChar w:fldCharType="end"/>
      </w:r>
      <w:r>
        <w:t>.</w:t>
      </w:r>
      <w:r w:rsidR="00835AF8">
        <w:t xml:space="preserve"> </w:t>
      </w:r>
    </w:p>
    <w:p w14:paraId="4965CDDD" w14:textId="7EF179C8" w:rsidR="004F448A" w:rsidRDefault="004F448A" w:rsidP="004F448A">
      <w:pPr>
        <w:jc w:val="both"/>
      </w:pPr>
      <w:r>
        <w:rPr>
          <w:lang w:eastAsia="zh-CN"/>
        </w:rPr>
        <w:t xml:space="preserve">In RAN4 #76 and #76bis several contributions on ACLR were submitted </w:t>
      </w:r>
      <w:r>
        <w:rPr>
          <w:lang w:eastAsia="zh-CN"/>
        </w:rPr>
        <w:fldChar w:fldCharType="begin"/>
      </w:r>
      <w:r>
        <w:rPr>
          <w:lang w:eastAsia="zh-CN"/>
        </w:rPr>
        <w:instrText xml:space="preserve"> REF _Ref431825203 \r \h </w:instrText>
      </w:r>
      <w:r>
        <w:rPr>
          <w:lang w:eastAsia="zh-CN"/>
        </w:rPr>
      </w:r>
      <w:r>
        <w:rPr>
          <w:lang w:eastAsia="zh-CN"/>
        </w:rPr>
        <w:fldChar w:fldCharType="separate"/>
      </w:r>
      <w:r w:rsidR="00917E02">
        <w:rPr>
          <w:lang w:eastAsia="zh-CN"/>
        </w:rPr>
        <w:t>[2]</w:t>
      </w:r>
      <w:r>
        <w:rPr>
          <w:lang w:eastAsia="zh-CN"/>
        </w:rPr>
        <w:fldChar w:fldCharType="end"/>
      </w:r>
      <w:r>
        <w:rPr>
          <w:lang w:eastAsia="zh-CN"/>
        </w:rPr>
        <w:fldChar w:fldCharType="begin"/>
      </w:r>
      <w:r>
        <w:rPr>
          <w:lang w:eastAsia="zh-CN"/>
        </w:rPr>
        <w:instrText xml:space="preserve"> REF _Ref431825207 \r \h </w:instrText>
      </w:r>
      <w:r>
        <w:rPr>
          <w:lang w:eastAsia="zh-CN"/>
        </w:rPr>
      </w:r>
      <w:r>
        <w:rPr>
          <w:lang w:eastAsia="zh-CN"/>
        </w:rPr>
        <w:fldChar w:fldCharType="separate"/>
      </w:r>
      <w:r w:rsidR="00917E02">
        <w:rPr>
          <w:lang w:eastAsia="zh-CN"/>
        </w:rPr>
        <w:t>[3]</w:t>
      </w:r>
      <w:r>
        <w:rPr>
          <w:lang w:eastAsia="zh-CN"/>
        </w:rPr>
        <w:fldChar w:fldCharType="end"/>
      </w:r>
      <w:r>
        <w:rPr>
          <w:lang w:eastAsia="zh-CN"/>
        </w:rPr>
        <w:fldChar w:fldCharType="begin"/>
      </w:r>
      <w:r>
        <w:rPr>
          <w:lang w:eastAsia="zh-CN"/>
        </w:rPr>
        <w:instrText xml:space="preserve"> REF _Ref431825209 \r \h </w:instrText>
      </w:r>
      <w:r>
        <w:rPr>
          <w:lang w:eastAsia="zh-CN"/>
        </w:rPr>
      </w:r>
      <w:r>
        <w:rPr>
          <w:lang w:eastAsia="zh-CN"/>
        </w:rPr>
        <w:fldChar w:fldCharType="separate"/>
      </w:r>
      <w:r w:rsidR="00917E02">
        <w:rPr>
          <w:lang w:eastAsia="zh-CN"/>
        </w:rPr>
        <w:t>[4]</w:t>
      </w:r>
      <w:r>
        <w:rPr>
          <w:lang w:eastAsia="zh-CN"/>
        </w:rPr>
        <w:fldChar w:fldCharType="end"/>
      </w:r>
      <w:r>
        <w:rPr>
          <w:lang w:eastAsia="zh-CN"/>
        </w:rPr>
        <w:fldChar w:fldCharType="begin"/>
      </w:r>
      <w:r>
        <w:rPr>
          <w:lang w:eastAsia="zh-CN"/>
        </w:rPr>
        <w:instrText xml:space="preserve"> REF _Ref431825210 \r \h </w:instrText>
      </w:r>
      <w:r>
        <w:rPr>
          <w:lang w:eastAsia="zh-CN"/>
        </w:rPr>
      </w:r>
      <w:r>
        <w:rPr>
          <w:lang w:eastAsia="zh-CN"/>
        </w:rPr>
        <w:fldChar w:fldCharType="separate"/>
      </w:r>
      <w:r w:rsidR="00917E02">
        <w:rPr>
          <w:lang w:eastAsia="zh-CN"/>
        </w:rPr>
        <w:t>[5]</w:t>
      </w:r>
      <w:r>
        <w:rPr>
          <w:lang w:eastAsia="zh-CN"/>
        </w:rPr>
        <w:fldChar w:fldCharType="end"/>
      </w:r>
      <w:r>
        <w:rPr>
          <w:lang w:eastAsia="zh-CN"/>
        </w:rPr>
        <w:t xml:space="preserve">. In </w:t>
      </w:r>
      <w:r>
        <w:rPr>
          <w:lang w:eastAsia="zh-CN"/>
        </w:rPr>
        <w:fldChar w:fldCharType="begin"/>
      </w:r>
      <w:r>
        <w:rPr>
          <w:lang w:eastAsia="zh-CN"/>
        </w:rPr>
        <w:instrText xml:space="preserve"> REF _Ref431825203 \r \h </w:instrText>
      </w:r>
      <w:r>
        <w:rPr>
          <w:lang w:eastAsia="zh-CN"/>
        </w:rPr>
      </w:r>
      <w:r>
        <w:rPr>
          <w:lang w:eastAsia="zh-CN"/>
        </w:rPr>
        <w:fldChar w:fldCharType="separate"/>
      </w:r>
      <w:r w:rsidR="00917E02">
        <w:rPr>
          <w:lang w:eastAsia="zh-CN"/>
        </w:rPr>
        <w:t>[2]</w:t>
      </w:r>
      <w:r>
        <w:rPr>
          <w:lang w:eastAsia="zh-CN"/>
        </w:rPr>
        <w:fldChar w:fldCharType="end"/>
      </w:r>
      <w:r>
        <w:rPr>
          <w:lang w:eastAsia="zh-CN"/>
        </w:rPr>
        <w:t xml:space="preserve"> a relaxation (30dBc) was proposed based on the simulation results included in LAA TR, in </w:t>
      </w:r>
      <w:r>
        <w:rPr>
          <w:lang w:eastAsia="zh-CN"/>
        </w:rPr>
        <w:fldChar w:fldCharType="begin"/>
      </w:r>
      <w:r>
        <w:rPr>
          <w:lang w:eastAsia="zh-CN"/>
        </w:rPr>
        <w:instrText xml:space="preserve"> REF _Ref431825207 \r \h </w:instrText>
      </w:r>
      <w:r>
        <w:rPr>
          <w:lang w:eastAsia="zh-CN"/>
        </w:rPr>
      </w:r>
      <w:r>
        <w:rPr>
          <w:lang w:eastAsia="zh-CN"/>
        </w:rPr>
        <w:fldChar w:fldCharType="separate"/>
      </w:r>
      <w:r w:rsidR="00917E02">
        <w:rPr>
          <w:lang w:eastAsia="zh-CN"/>
        </w:rPr>
        <w:t>[3]</w:t>
      </w:r>
      <w:r>
        <w:rPr>
          <w:lang w:eastAsia="zh-CN"/>
        </w:rPr>
        <w:fldChar w:fldCharType="end"/>
      </w:r>
      <w:r>
        <w:rPr>
          <w:lang w:eastAsia="zh-CN"/>
        </w:rPr>
        <w:t xml:space="preserve"> the same relaxation was proposed. </w:t>
      </w:r>
      <w:r>
        <w:t xml:space="preserve">In </w:t>
      </w:r>
      <w:r>
        <w:fldChar w:fldCharType="begin"/>
      </w:r>
      <w:r>
        <w:instrText xml:space="preserve"> REF _Ref431825210 \r \h </w:instrText>
      </w:r>
      <w:r>
        <w:fldChar w:fldCharType="separate"/>
      </w:r>
      <w:r w:rsidR="00917E02">
        <w:t>[5]</w:t>
      </w:r>
      <w:r>
        <w:fldChar w:fldCharType="end"/>
      </w:r>
      <w:r>
        <w:t xml:space="preserve"> simulations showing the impact of ACLR on LAA throughput degradation were presented with similar observations compared to </w:t>
      </w:r>
      <w:r>
        <w:fldChar w:fldCharType="begin"/>
      </w:r>
      <w:r>
        <w:instrText xml:space="preserve"> REF _Ref431825203 \r \h </w:instrText>
      </w:r>
      <w:r>
        <w:fldChar w:fldCharType="separate"/>
      </w:r>
      <w:r w:rsidR="00917E02">
        <w:t>[2]</w:t>
      </w:r>
      <w:r>
        <w:fldChar w:fldCharType="end"/>
      </w:r>
      <w:r>
        <w:t xml:space="preserve"> and </w:t>
      </w:r>
      <w:r>
        <w:fldChar w:fldCharType="begin"/>
      </w:r>
      <w:r>
        <w:instrText xml:space="preserve"> REF _Ref431825207 \r \h </w:instrText>
      </w:r>
      <w:r>
        <w:fldChar w:fldCharType="separate"/>
      </w:r>
      <w:r w:rsidR="00917E02">
        <w:t>[3]</w:t>
      </w:r>
      <w:r>
        <w:fldChar w:fldCharType="end"/>
      </w:r>
      <w:r>
        <w:t xml:space="preserve"> (although a specific ACLR value was not proposed). In </w:t>
      </w:r>
      <w:r>
        <w:fldChar w:fldCharType="begin"/>
      </w:r>
      <w:r>
        <w:instrText xml:space="preserve"> REF _Ref431825209 \r \h </w:instrText>
      </w:r>
      <w:r>
        <w:fldChar w:fldCharType="separate"/>
      </w:r>
      <w:r w:rsidR="00917E02">
        <w:t>[4]</w:t>
      </w:r>
      <w:r>
        <w:fldChar w:fldCharType="end"/>
      </w:r>
      <w:r>
        <w:t xml:space="preserve"> a different point of view was presented, in particular it was proposed to keep legacy requirement (45dBc). Similar discussion happened regarding Unwanted Emission Mask. In </w:t>
      </w:r>
      <w:r>
        <w:fldChar w:fldCharType="begin"/>
      </w:r>
      <w:r>
        <w:instrText xml:space="preserve"> REF _Ref434824529 \r \h </w:instrText>
      </w:r>
      <w:r>
        <w:fldChar w:fldCharType="separate"/>
      </w:r>
      <w:r w:rsidR="00917E02">
        <w:t>[6]</w:t>
      </w:r>
      <w:r>
        <w:fldChar w:fldCharType="end"/>
      </w:r>
      <w:r>
        <w:t>, a good review of possible alternatives for UEM was presented with a specific proposal for LAA.</w:t>
      </w:r>
    </w:p>
    <w:p w14:paraId="5E6CE1F4" w14:textId="193163AB" w:rsidR="004F448A" w:rsidRDefault="004F448A" w:rsidP="004F448A">
      <w:pPr>
        <w:jc w:val="both"/>
      </w:pPr>
      <w:r>
        <w:t xml:space="preserve">The outcome of the discussion about ACLR and UEM was captured in </w:t>
      </w:r>
      <w:r>
        <w:fldChar w:fldCharType="begin"/>
      </w:r>
      <w:r>
        <w:instrText xml:space="preserve"> REF _Ref434824654 \r \h </w:instrText>
      </w:r>
      <w:r>
        <w:fldChar w:fldCharType="separate"/>
      </w:r>
      <w:r w:rsidR="00917E02">
        <w:t>[7]</w:t>
      </w:r>
      <w:r>
        <w:fldChar w:fldCharType="end"/>
      </w:r>
      <w:r>
        <w:t>. In particular it was decided to:</w:t>
      </w:r>
    </w:p>
    <w:p w14:paraId="47FB9289" w14:textId="00655CFA" w:rsidR="004F448A" w:rsidRDefault="004F448A" w:rsidP="004F448A">
      <w:pPr>
        <w:pStyle w:val="ListParagraph"/>
        <w:numPr>
          <w:ilvl w:val="0"/>
          <w:numId w:val="25"/>
        </w:numPr>
        <w:jc w:val="both"/>
      </w:pPr>
      <w:r>
        <w:t>Potentially down-select the ACLR values from the following set: 30dBc, 35dBc, 45dBc</w:t>
      </w:r>
    </w:p>
    <w:p w14:paraId="56A7DA0F" w14:textId="35AE28E0" w:rsidR="004F448A" w:rsidRDefault="004F448A" w:rsidP="004F448A">
      <w:pPr>
        <w:pStyle w:val="ListParagraph"/>
        <w:numPr>
          <w:ilvl w:val="0"/>
          <w:numId w:val="25"/>
        </w:numPr>
        <w:jc w:val="both"/>
      </w:pPr>
      <w:r>
        <w:t>Specify</w:t>
      </w:r>
      <w:r w:rsidRPr="004F448A">
        <w:t xml:space="preserve"> operating band unwanted emission limits are pending outcome of the ACLR discussion</w:t>
      </w:r>
    </w:p>
    <w:p w14:paraId="0961039F" w14:textId="1D799E0C" w:rsidR="004F448A" w:rsidRDefault="004F448A" w:rsidP="004F448A">
      <w:pPr>
        <w:jc w:val="both"/>
      </w:pPr>
      <w:r>
        <w:t>In the following sections with make proposals for both ACLR and UEM</w:t>
      </w:r>
      <w:r w:rsidR="00C24B3E">
        <w:t>.</w:t>
      </w:r>
    </w:p>
    <w:p w14:paraId="74F3D601" w14:textId="77777777" w:rsidR="004F448A" w:rsidRDefault="004F448A">
      <w:pPr>
        <w:jc w:val="both"/>
        <w:rPr>
          <w:i/>
          <w:lang w:eastAsia="zh-CN"/>
        </w:rPr>
      </w:pPr>
    </w:p>
    <w:p w14:paraId="30DB792B" w14:textId="009B41A2" w:rsidR="0017771E" w:rsidRPr="002B1D83" w:rsidRDefault="002B1D83" w:rsidP="0059323C">
      <w:pPr>
        <w:jc w:val="both"/>
      </w:pPr>
      <w:r>
        <w:rPr>
          <w:lang w:eastAsia="zh-CN"/>
        </w:rPr>
        <w:t xml:space="preserve"> </w:t>
      </w:r>
    </w:p>
    <w:p w14:paraId="6EC42E06" w14:textId="34C07A88" w:rsidR="007D2CD1" w:rsidRDefault="00C12B01" w:rsidP="007D2CD1">
      <w:pPr>
        <w:pStyle w:val="Heading1"/>
        <w:tabs>
          <w:tab w:val="clear" w:pos="432"/>
          <w:tab w:val="num" w:pos="522"/>
        </w:tabs>
        <w:ind w:left="522" w:hanging="522"/>
        <w:rPr>
          <w:lang w:val="en-US"/>
        </w:rPr>
      </w:pPr>
      <w:bookmarkStart w:id="1" w:name="_Ref434825383"/>
      <w:r>
        <w:rPr>
          <w:lang w:val="en-US"/>
        </w:rPr>
        <w:t>ACLR requirement for LAA BS</w:t>
      </w:r>
      <w:bookmarkEnd w:id="1"/>
    </w:p>
    <w:p w14:paraId="27169D1B" w14:textId="1A202F04" w:rsidR="00C6377E" w:rsidRDefault="00C6377E" w:rsidP="00C6377E">
      <w:pPr>
        <w:jc w:val="both"/>
      </w:pPr>
      <w:r>
        <w:t xml:space="preserve">The main </w:t>
      </w:r>
      <w:r w:rsidR="004C288B">
        <w:t>concern</w:t>
      </w:r>
      <w:r>
        <w:t xml:space="preserve"> raised about </w:t>
      </w:r>
      <w:r w:rsidR="004C288B">
        <w:t>BS ACLR relaxation was the impact o</w:t>
      </w:r>
      <w:r>
        <w:t xml:space="preserve">n performance. In particular, there were concerns about the impact </w:t>
      </w:r>
      <w:r w:rsidR="00DD2596">
        <w:t xml:space="preserve">on </w:t>
      </w:r>
      <w:r>
        <w:t xml:space="preserve">LAA to LAA performance. One aspect mentioned is that LAA to LAA performance should be similar to the legacy band. We believe </w:t>
      </w:r>
      <w:r w:rsidR="004F54DD">
        <w:t xml:space="preserve">that at least the following aspects should </w:t>
      </w:r>
      <w:r w:rsidR="004C288B">
        <w:t xml:space="preserve">be </w:t>
      </w:r>
      <w:r w:rsidR="004F54DD">
        <w:t>instead</w:t>
      </w:r>
      <w:r w:rsidR="004C288B">
        <w:t xml:space="preserve"> </w:t>
      </w:r>
      <w:r w:rsidR="004F54DD">
        <w:t>take</w:t>
      </w:r>
      <w:r w:rsidR="004C288B">
        <w:t>n</w:t>
      </w:r>
      <w:r w:rsidR="004F54DD">
        <w:t xml:space="preserve"> into account:</w:t>
      </w:r>
      <w:r>
        <w:t xml:space="preserve"> </w:t>
      </w:r>
    </w:p>
    <w:p w14:paraId="0803BFF5" w14:textId="52E7A3E8" w:rsidR="004F54DD" w:rsidRPr="007212EA" w:rsidRDefault="004F54DD" w:rsidP="007212EA">
      <w:pPr>
        <w:pStyle w:val="ListParagraph"/>
        <w:numPr>
          <w:ilvl w:val="0"/>
          <w:numId w:val="24"/>
        </w:numPr>
        <w:jc w:val="both"/>
        <w:rPr>
          <w:i/>
          <w:lang w:eastAsia="zh-CN"/>
        </w:rPr>
      </w:pPr>
      <w:r>
        <w:rPr>
          <w:lang w:eastAsia="zh-CN"/>
        </w:rPr>
        <w:t>Coexistence scenarios adopted by RAN4 for other coexistence study were different. In particular</w:t>
      </w:r>
      <w:r w:rsidR="004C288B">
        <w:rPr>
          <w:lang w:eastAsia="zh-CN"/>
        </w:rPr>
        <w:t>,</w:t>
      </w:r>
      <w:r>
        <w:rPr>
          <w:lang w:eastAsia="zh-CN"/>
        </w:rPr>
        <w:t xml:space="preserve"> frequency ranges, antenna gain, antenna pattern, simulation layout were different. Therefore the requirements adopted for legacy licensed </w:t>
      </w:r>
      <w:r w:rsidR="004C288B">
        <w:rPr>
          <w:lang w:eastAsia="zh-CN"/>
        </w:rPr>
        <w:t>cannot be blindly applied to unlicensed scenario</w:t>
      </w:r>
      <w:r>
        <w:rPr>
          <w:lang w:eastAsia="zh-CN"/>
        </w:rPr>
        <w:t>.</w:t>
      </w:r>
    </w:p>
    <w:p w14:paraId="019270E3" w14:textId="13D0F2C6" w:rsidR="004F54DD" w:rsidRPr="007212EA" w:rsidRDefault="004F54DD" w:rsidP="007212EA">
      <w:pPr>
        <w:pStyle w:val="ListParagraph"/>
        <w:numPr>
          <w:ilvl w:val="0"/>
          <w:numId w:val="24"/>
        </w:numPr>
        <w:jc w:val="both"/>
        <w:rPr>
          <w:i/>
          <w:lang w:eastAsia="zh-CN"/>
        </w:rPr>
      </w:pPr>
      <w:r>
        <w:rPr>
          <w:lang w:eastAsia="zh-CN"/>
        </w:rPr>
        <w:t>Simulation results were already provided showing good coexistence for LAA to LAA when BS ACLR is relaxed down to 30dBc</w:t>
      </w:r>
      <w:r w:rsidR="00DD2596">
        <w:rPr>
          <w:lang w:eastAsia="zh-CN"/>
        </w:rPr>
        <w:t xml:space="preserve"> </w:t>
      </w:r>
      <w:r w:rsidR="00DD2596">
        <w:rPr>
          <w:lang w:eastAsia="zh-CN"/>
        </w:rPr>
        <w:fldChar w:fldCharType="begin"/>
      </w:r>
      <w:r w:rsidR="00DD2596">
        <w:rPr>
          <w:lang w:eastAsia="zh-CN"/>
        </w:rPr>
        <w:instrText xml:space="preserve"> REF _Ref425857735 \r \h </w:instrText>
      </w:r>
      <w:r w:rsidR="00DD2596">
        <w:rPr>
          <w:lang w:eastAsia="zh-CN"/>
        </w:rPr>
      </w:r>
      <w:r w:rsidR="00DD2596">
        <w:rPr>
          <w:lang w:eastAsia="zh-CN"/>
        </w:rPr>
        <w:fldChar w:fldCharType="separate"/>
      </w:r>
      <w:r w:rsidR="00917E02">
        <w:rPr>
          <w:lang w:eastAsia="zh-CN"/>
        </w:rPr>
        <w:t>[1]</w:t>
      </w:r>
      <w:r w:rsidR="00DD2596">
        <w:rPr>
          <w:lang w:eastAsia="zh-CN"/>
        </w:rPr>
        <w:fldChar w:fldCharType="end"/>
      </w:r>
      <w:r>
        <w:rPr>
          <w:lang w:eastAsia="zh-CN"/>
        </w:rPr>
        <w:t>.</w:t>
      </w:r>
    </w:p>
    <w:p w14:paraId="7C32A6CB" w14:textId="58F3C536" w:rsidR="00C5319F" w:rsidRPr="000B222B" w:rsidRDefault="00C5319F" w:rsidP="00C5319F">
      <w:pPr>
        <w:pStyle w:val="ListParagraph"/>
        <w:numPr>
          <w:ilvl w:val="0"/>
          <w:numId w:val="24"/>
        </w:numPr>
        <w:jc w:val="both"/>
        <w:rPr>
          <w:i/>
          <w:lang w:eastAsia="zh-CN"/>
        </w:rPr>
      </w:pPr>
      <w:r>
        <w:rPr>
          <w:lang w:eastAsia="zh-CN"/>
        </w:rPr>
        <w:lastRenderedPageBreak/>
        <w:t>Having a tight</w:t>
      </w:r>
      <w:r w:rsidR="004C288B">
        <w:rPr>
          <w:lang w:eastAsia="zh-CN"/>
        </w:rPr>
        <w:t xml:space="preserve"> ACLR requirement</w:t>
      </w:r>
      <w:r>
        <w:rPr>
          <w:lang w:eastAsia="zh-CN"/>
        </w:rPr>
        <w:t xml:space="preserve"> would only make</w:t>
      </w:r>
      <w:r w:rsidR="00DD2596">
        <w:rPr>
          <w:lang w:eastAsia="zh-CN"/>
        </w:rPr>
        <w:t xml:space="preserve"> sense</w:t>
      </w:r>
      <w:r>
        <w:rPr>
          <w:lang w:eastAsia="zh-CN"/>
        </w:rPr>
        <w:t xml:space="preserve"> in </w:t>
      </w:r>
      <w:r w:rsidR="004C288B">
        <w:rPr>
          <w:lang w:eastAsia="zh-CN"/>
        </w:rPr>
        <w:t xml:space="preserve">a </w:t>
      </w:r>
      <w:r>
        <w:rPr>
          <w:lang w:eastAsia="zh-CN"/>
        </w:rPr>
        <w:t xml:space="preserve">scenario in which only LAA is using the band. This was mentioned several times, however it is worth emphasizing again that if the same band is shared with devices with </w:t>
      </w:r>
      <w:r w:rsidR="00DD2596">
        <w:rPr>
          <w:lang w:eastAsia="zh-CN"/>
        </w:rPr>
        <w:t>much worse</w:t>
      </w:r>
      <w:r>
        <w:rPr>
          <w:lang w:eastAsia="zh-CN"/>
        </w:rPr>
        <w:t xml:space="preserve"> RF performance, those devices will be the bottleneck in terms of interference.</w:t>
      </w:r>
    </w:p>
    <w:p w14:paraId="338BC67A" w14:textId="394886CB" w:rsidR="004F54DD" w:rsidRPr="004C288B" w:rsidRDefault="003B2794" w:rsidP="007212EA">
      <w:pPr>
        <w:pStyle w:val="ListParagraph"/>
        <w:numPr>
          <w:ilvl w:val="0"/>
          <w:numId w:val="24"/>
        </w:numPr>
        <w:jc w:val="both"/>
        <w:rPr>
          <w:i/>
          <w:lang w:eastAsia="zh-CN"/>
        </w:rPr>
      </w:pPr>
      <w:r>
        <w:rPr>
          <w:lang w:eastAsia="zh-CN"/>
        </w:rPr>
        <w:t xml:space="preserve">Some companies raised the issue about the need to consider </w:t>
      </w:r>
      <w:r w:rsidR="00DD2596">
        <w:rPr>
          <w:lang w:eastAsia="zh-CN"/>
        </w:rPr>
        <w:t xml:space="preserve">the </w:t>
      </w:r>
      <w:r>
        <w:rPr>
          <w:lang w:eastAsia="zh-CN"/>
        </w:rPr>
        <w:t>interference coming from UEs. This is indeed a valid point and some observations can be made. In this case, e</w:t>
      </w:r>
      <w:r w:rsidR="00C5319F">
        <w:rPr>
          <w:lang w:eastAsia="zh-CN"/>
        </w:rPr>
        <w:t>ven if we consider a scenario with only LAA transmitting in the band</w:t>
      </w:r>
      <w:r>
        <w:rPr>
          <w:lang w:eastAsia="zh-CN"/>
        </w:rPr>
        <w:t>,</w:t>
      </w:r>
      <w:r w:rsidR="00C5319F">
        <w:rPr>
          <w:lang w:eastAsia="zh-CN"/>
        </w:rPr>
        <w:t xml:space="preserve"> having a tight BS ACLR could be not beneficial. A</w:t>
      </w:r>
      <w:r w:rsidR="004F54DD">
        <w:rPr>
          <w:lang w:eastAsia="zh-CN"/>
        </w:rPr>
        <w:t xml:space="preserve"> tight ACLR for BS was needed in legacy band because of high tx power. In particular, the high power imbalance between BS </w:t>
      </w:r>
      <w:r w:rsidR="00C5319F">
        <w:rPr>
          <w:lang w:eastAsia="zh-CN"/>
        </w:rPr>
        <w:t xml:space="preserve">and UE was somehow compensated by the different ACLR (tight ACLR </w:t>
      </w:r>
      <w:r w:rsidR="00DD2596">
        <w:rPr>
          <w:lang w:eastAsia="zh-CN"/>
        </w:rPr>
        <w:t xml:space="preserve">was </w:t>
      </w:r>
      <w:r w:rsidR="00C5319F">
        <w:rPr>
          <w:lang w:eastAsia="zh-CN"/>
        </w:rPr>
        <w:t xml:space="preserve">needed at BS </w:t>
      </w:r>
      <w:r w:rsidR="00DD2596">
        <w:rPr>
          <w:lang w:eastAsia="zh-CN"/>
        </w:rPr>
        <w:t xml:space="preserve">because of the </w:t>
      </w:r>
      <w:r w:rsidR="00C5319F">
        <w:rPr>
          <w:lang w:eastAsia="zh-CN"/>
        </w:rPr>
        <w:t xml:space="preserve">high </w:t>
      </w:r>
      <w:r w:rsidR="00DD2596">
        <w:rPr>
          <w:lang w:eastAsia="zh-CN"/>
        </w:rPr>
        <w:t xml:space="preserve">adjacent channel </w:t>
      </w:r>
      <w:r w:rsidR="00C5319F">
        <w:rPr>
          <w:lang w:eastAsia="zh-CN"/>
        </w:rPr>
        <w:t>power leakage</w:t>
      </w:r>
      <w:r w:rsidR="00DD2596">
        <w:rPr>
          <w:lang w:eastAsia="zh-CN"/>
        </w:rPr>
        <w:t xml:space="preserve"> due to the high tx power and antenna gain</w:t>
      </w:r>
      <w:r w:rsidR="00C5319F">
        <w:rPr>
          <w:lang w:eastAsia="zh-CN"/>
        </w:rPr>
        <w:t>). In unlicensed spectrum the situation is very different from this point of view. In many regulatory domains max tx power for master and slave devices are the same. This means that tx power gap between UE and BS will not be very high. Therefore even if we impose a very tight requirement for BS, we will end up in a situation in which the UE is the bottleneck in terms of adjacent</w:t>
      </w:r>
      <w:r w:rsidR="00DD2596">
        <w:rPr>
          <w:lang w:eastAsia="zh-CN"/>
        </w:rPr>
        <w:t xml:space="preserve"> channel</w:t>
      </w:r>
      <w:r w:rsidR="00C5319F">
        <w:rPr>
          <w:lang w:eastAsia="zh-CN"/>
        </w:rPr>
        <w:t xml:space="preserve"> leakage. </w:t>
      </w:r>
      <w:r w:rsidR="004F54DD">
        <w:rPr>
          <w:lang w:eastAsia="zh-CN"/>
        </w:rPr>
        <w:t xml:space="preserve"> </w:t>
      </w:r>
    </w:p>
    <w:p w14:paraId="1AE19D35" w14:textId="783E46CB" w:rsidR="004C288B" w:rsidRPr="007212EA" w:rsidRDefault="00AD6FFE" w:rsidP="007212EA">
      <w:pPr>
        <w:pStyle w:val="ListParagraph"/>
        <w:numPr>
          <w:ilvl w:val="0"/>
          <w:numId w:val="24"/>
        </w:numPr>
        <w:jc w:val="both"/>
        <w:rPr>
          <w:i/>
          <w:lang w:eastAsia="zh-CN"/>
        </w:rPr>
      </w:pPr>
      <w:r>
        <w:rPr>
          <w:lang w:eastAsia="zh-CN"/>
        </w:rPr>
        <w:t xml:space="preserve">Another important factor discussed was related to the impact on LBT. From this point of view, having a big ACLR unbalance compared to Wi-Fi could negatively affect LAA performance. Let us consider a dense scenario in which we have Wi-Fi APs and LAA BSs closely located and transmitting in adjacent channels. In such a scenario LAA BS could back-off much more often because of Clear Channel Assessment (CCA) check failures due to adjacent channel interference (because of the high leakage from Wi-Fi AP). This will not happen often at AP side since the received energy from LAA BS operating in the adjacent channel will be much lower due to the tight ACLR.  </w:t>
      </w:r>
    </w:p>
    <w:p w14:paraId="797B6D1F" w14:textId="7F2B0844" w:rsidR="00C5319F" w:rsidRDefault="004F448A">
      <w:pPr>
        <w:jc w:val="both"/>
        <w:rPr>
          <w:lang w:eastAsia="zh-CN"/>
        </w:rPr>
      </w:pPr>
      <w:r>
        <w:rPr>
          <w:lang w:eastAsia="zh-CN"/>
        </w:rPr>
        <w:t>Based on the above observations we make the following proposal for ACLR and CACLR</w:t>
      </w:r>
    </w:p>
    <w:p w14:paraId="749E79C0" w14:textId="78733934" w:rsidR="003B2794" w:rsidRPr="00227191" w:rsidRDefault="003B2794" w:rsidP="003B2794">
      <w:pPr>
        <w:rPr>
          <w:b/>
          <w:i/>
        </w:rPr>
      </w:pPr>
      <w:r w:rsidRPr="00227191">
        <w:rPr>
          <w:b/>
          <w:i/>
        </w:rPr>
        <w:t xml:space="preserve">Proposal 1: </w:t>
      </w:r>
      <w:r>
        <w:rPr>
          <w:b/>
          <w:i/>
        </w:rPr>
        <w:t>BS ACLR</w:t>
      </w:r>
      <w:r w:rsidR="004F448A">
        <w:rPr>
          <w:b/>
          <w:i/>
        </w:rPr>
        <w:t xml:space="preserve"> and CACLR for 5GHz band</w:t>
      </w:r>
      <w:r>
        <w:rPr>
          <w:b/>
          <w:i/>
        </w:rPr>
        <w:t xml:space="preserve"> should be 30dB.</w:t>
      </w:r>
    </w:p>
    <w:p w14:paraId="3516B638" w14:textId="77777777" w:rsidR="00DD2596" w:rsidRDefault="00DD2596" w:rsidP="00985A99">
      <w:pPr>
        <w:jc w:val="both"/>
        <w:rPr>
          <w:lang w:eastAsia="zh-CN"/>
        </w:rPr>
      </w:pPr>
    </w:p>
    <w:p w14:paraId="4D8C691A" w14:textId="36C549EE" w:rsidR="004F448A" w:rsidRDefault="004F448A" w:rsidP="004F448A">
      <w:pPr>
        <w:pStyle w:val="Heading1"/>
        <w:tabs>
          <w:tab w:val="clear" w:pos="432"/>
          <w:tab w:val="num" w:pos="522"/>
        </w:tabs>
        <w:ind w:left="522" w:hanging="522"/>
        <w:rPr>
          <w:lang w:val="en-US"/>
        </w:rPr>
      </w:pPr>
      <w:r>
        <w:rPr>
          <w:lang w:val="en-US"/>
        </w:rPr>
        <w:t>UEM requirement for LAA BS</w:t>
      </w:r>
    </w:p>
    <w:p w14:paraId="5EEBC8B9" w14:textId="77777777" w:rsidR="004F448A" w:rsidRDefault="004F448A" w:rsidP="00985A99">
      <w:pPr>
        <w:jc w:val="both"/>
        <w:rPr>
          <w:lang w:eastAsia="zh-CN"/>
        </w:rPr>
      </w:pPr>
      <w:r>
        <w:rPr>
          <w:lang w:eastAsia="zh-CN"/>
        </w:rPr>
        <w:t xml:space="preserve">Following the observations in section </w:t>
      </w:r>
      <w:r>
        <w:rPr>
          <w:lang w:eastAsia="zh-CN"/>
        </w:rPr>
        <w:fldChar w:fldCharType="begin"/>
      </w:r>
      <w:r>
        <w:rPr>
          <w:lang w:eastAsia="zh-CN"/>
        </w:rPr>
        <w:instrText xml:space="preserve"> REF _Ref434825383 \r \h </w:instrText>
      </w:r>
      <w:r>
        <w:rPr>
          <w:lang w:eastAsia="zh-CN"/>
        </w:rPr>
      </w:r>
      <w:r>
        <w:rPr>
          <w:lang w:eastAsia="zh-CN"/>
        </w:rPr>
        <w:fldChar w:fldCharType="separate"/>
      </w:r>
      <w:r w:rsidR="00917E02">
        <w:rPr>
          <w:lang w:eastAsia="zh-CN"/>
        </w:rPr>
        <w:t>3</w:t>
      </w:r>
      <w:r>
        <w:rPr>
          <w:lang w:eastAsia="zh-CN"/>
        </w:rPr>
        <w:fldChar w:fldCharType="end"/>
      </w:r>
      <w:r>
        <w:rPr>
          <w:lang w:eastAsia="zh-CN"/>
        </w:rPr>
        <w:t xml:space="preserve"> and Proposal 1, we make a corresponding proposal for Unwanted Emission Mask. In </w:t>
      </w:r>
      <w:r>
        <w:rPr>
          <w:lang w:eastAsia="zh-CN"/>
        </w:rPr>
        <w:fldChar w:fldCharType="begin"/>
      </w:r>
      <w:r>
        <w:rPr>
          <w:lang w:eastAsia="zh-CN"/>
        </w:rPr>
        <w:instrText xml:space="preserve"> REF _Ref434824529 \r \h </w:instrText>
      </w:r>
      <w:r>
        <w:rPr>
          <w:lang w:eastAsia="zh-CN"/>
        </w:rPr>
      </w:r>
      <w:r>
        <w:rPr>
          <w:lang w:eastAsia="zh-CN"/>
        </w:rPr>
        <w:fldChar w:fldCharType="separate"/>
      </w:r>
      <w:r w:rsidR="00917E02">
        <w:rPr>
          <w:lang w:eastAsia="zh-CN"/>
        </w:rPr>
        <w:t>[6]</w:t>
      </w:r>
      <w:r>
        <w:rPr>
          <w:lang w:eastAsia="zh-CN"/>
        </w:rPr>
        <w:fldChar w:fldCharType="end"/>
      </w:r>
      <w:r>
        <w:rPr>
          <w:lang w:eastAsia="zh-CN"/>
        </w:rPr>
        <w:t xml:space="preserve"> a comparison of legacy LTE UEMs and Wi-Fi Tx masks were presented. Emission mask specified in ETSI harmonized standard </w:t>
      </w:r>
      <w:r>
        <w:rPr>
          <w:lang w:eastAsia="zh-CN"/>
        </w:rPr>
        <w:fldChar w:fldCharType="begin"/>
      </w:r>
      <w:r>
        <w:rPr>
          <w:lang w:eastAsia="zh-CN"/>
        </w:rPr>
        <w:instrText xml:space="preserve"> REF _Ref434825866 \r \h </w:instrText>
      </w:r>
      <w:r>
        <w:rPr>
          <w:lang w:eastAsia="zh-CN"/>
        </w:rPr>
      </w:r>
      <w:r>
        <w:rPr>
          <w:lang w:eastAsia="zh-CN"/>
        </w:rPr>
        <w:fldChar w:fldCharType="separate"/>
      </w:r>
      <w:r w:rsidR="00917E02">
        <w:rPr>
          <w:lang w:eastAsia="zh-CN"/>
        </w:rPr>
        <w:t>[8]</w:t>
      </w:r>
      <w:r>
        <w:rPr>
          <w:lang w:eastAsia="zh-CN"/>
        </w:rPr>
        <w:fldChar w:fldCharType="end"/>
      </w:r>
      <w:r>
        <w:rPr>
          <w:lang w:eastAsia="zh-CN"/>
        </w:rPr>
        <w:t xml:space="preserve"> was also taken into account. The proposal in </w:t>
      </w:r>
      <w:r>
        <w:rPr>
          <w:lang w:eastAsia="zh-CN"/>
        </w:rPr>
        <w:fldChar w:fldCharType="begin"/>
      </w:r>
      <w:r>
        <w:rPr>
          <w:lang w:eastAsia="zh-CN"/>
        </w:rPr>
        <w:instrText xml:space="preserve"> REF _Ref434824529 \r \h </w:instrText>
      </w:r>
      <w:r>
        <w:rPr>
          <w:lang w:eastAsia="zh-CN"/>
        </w:rPr>
      </w:r>
      <w:r>
        <w:rPr>
          <w:lang w:eastAsia="zh-CN"/>
        </w:rPr>
        <w:fldChar w:fldCharType="separate"/>
      </w:r>
      <w:r w:rsidR="00917E02">
        <w:rPr>
          <w:lang w:eastAsia="zh-CN"/>
        </w:rPr>
        <w:t>[6]</w:t>
      </w:r>
      <w:r>
        <w:rPr>
          <w:lang w:eastAsia="zh-CN"/>
        </w:rPr>
        <w:fldChar w:fldCharType="end"/>
      </w:r>
      <w:r>
        <w:rPr>
          <w:lang w:eastAsia="zh-CN"/>
        </w:rPr>
        <w:t xml:space="preserve"> was to “</w:t>
      </w:r>
      <w:r w:rsidRPr="004F448A">
        <w:rPr>
          <w:lang w:eastAsia="zh-CN"/>
        </w:rPr>
        <w:t>reuse current LTE UEM requirement for both single carrier and carrier aggregation as general requirement and the mask in European harmonized standard for RLAN as additional regional requirement</w:t>
      </w:r>
      <w:r>
        <w:rPr>
          <w:lang w:eastAsia="zh-CN"/>
        </w:rPr>
        <w:t>”</w:t>
      </w:r>
      <w:r w:rsidRPr="004F448A">
        <w:rPr>
          <w:lang w:eastAsia="zh-CN"/>
        </w:rPr>
        <w:t>.</w:t>
      </w:r>
      <w:r>
        <w:rPr>
          <w:lang w:eastAsia="zh-CN"/>
        </w:rPr>
        <w:t xml:space="preserve"> </w:t>
      </w:r>
    </w:p>
    <w:p w14:paraId="7E672398" w14:textId="11FE312A" w:rsidR="00EB5039" w:rsidRDefault="004F448A" w:rsidP="00985A99">
      <w:pPr>
        <w:jc w:val="both"/>
        <w:rPr>
          <w:lang w:eastAsia="zh-CN"/>
        </w:rPr>
      </w:pPr>
      <w:r>
        <w:rPr>
          <w:lang w:eastAsia="zh-CN"/>
        </w:rPr>
        <w:t xml:space="preserve">We believe that existing LTE UEMs cannot be blindly applied to the new band defined for LAA (5150MHz-5925MHz). Indeed, both ACLR and UEM requirements need to be updated considering the new interference environment present in the 5GHz spectrum. Following the observations presented in the previous section, ETSI mask presented in the harmonized standard represents a very good solution for LAA. </w:t>
      </w:r>
      <w:r w:rsidR="00EB5039">
        <w:rPr>
          <w:lang w:eastAsia="zh-CN"/>
        </w:rPr>
        <w:fldChar w:fldCharType="begin"/>
      </w:r>
      <w:r w:rsidR="00EB5039">
        <w:rPr>
          <w:lang w:eastAsia="zh-CN"/>
        </w:rPr>
        <w:instrText xml:space="preserve"> REF _Ref434831569 \h </w:instrText>
      </w:r>
      <w:r w:rsidR="00EB5039">
        <w:rPr>
          <w:lang w:eastAsia="zh-CN"/>
        </w:rPr>
      </w:r>
      <w:r w:rsidR="00EB5039">
        <w:rPr>
          <w:lang w:eastAsia="zh-CN"/>
        </w:rPr>
        <w:fldChar w:fldCharType="separate"/>
      </w:r>
      <w:r w:rsidR="00917E02">
        <w:t xml:space="preserve">Figure </w:t>
      </w:r>
      <w:r w:rsidR="00917E02">
        <w:rPr>
          <w:noProof/>
        </w:rPr>
        <w:t>1</w:t>
      </w:r>
      <w:r w:rsidR="00EB5039">
        <w:rPr>
          <w:lang w:eastAsia="zh-CN"/>
        </w:rPr>
        <w:fldChar w:fldCharType="end"/>
      </w:r>
      <w:r w:rsidR="00EB5039">
        <w:rPr>
          <w:lang w:eastAsia="zh-CN"/>
        </w:rPr>
        <w:t xml:space="preserve"> shows the proposed UEM based on ETSI specification. The mask is expressed in dBr, i.e. relative to the in-band PSD value, both 20MHz and 40MHz cases are showed in the picture. For contiguous 20+20 </w:t>
      </w:r>
      <w:r w:rsidR="00917E02">
        <w:rPr>
          <w:lang w:eastAsia="zh-CN"/>
        </w:rPr>
        <w:t>aggregation</w:t>
      </w:r>
      <w:r w:rsidR="00EB5039">
        <w:rPr>
          <w:lang w:eastAsia="zh-CN"/>
        </w:rPr>
        <w:t>, the 40MHz mask can be adopted.</w:t>
      </w:r>
    </w:p>
    <w:p w14:paraId="44ABEC04" w14:textId="5F0D6BFA" w:rsidR="00C24B3E" w:rsidRDefault="00C24B3E" w:rsidP="00985A99">
      <w:pPr>
        <w:jc w:val="both"/>
        <w:rPr>
          <w:lang w:eastAsia="zh-CN"/>
        </w:rPr>
      </w:pPr>
      <w:r>
        <w:rPr>
          <w:lang w:eastAsia="zh-CN"/>
        </w:rPr>
        <w:t xml:space="preserve">Defining the mask in </w:t>
      </w:r>
      <w:r w:rsidR="00C17C13">
        <w:rPr>
          <w:lang w:eastAsia="zh-CN"/>
        </w:rPr>
        <w:fldChar w:fldCharType="begin"/>
      </w:r>
      <w:r w:rsidR="00C17C13">
        <w:rPr>
          <w:lang w:eastAsia="zh-CN"/>
        </w:rPr>
        <w:instrText xml:space="preserve"> REF _Ref434831569 \h </w:instrText>
      </w:r>
      <w:r w:rsidR="00C17C13">
        <w:rPr>
          <w:lang w:eastAsia="zh-CN"/>
        </w:rPr>
      </w:r>
      <w:r w:rsidR="00C17C13">
        <w:rPr>
          <w:lang w:eastAsia="zh-CN"/>
        </w:rPr>
        <w:fldChar w:fldCharType="separate"/>
      </w:r>
      <w:r w:rsidR="00917E02">
        <w:t xml:space="preserve">Figure </w:t>
      </w:r>
      <w:r w:rsidR="00917E02">
        <w:rPr>
          <w:noProof/>
        </w:rPr>
        <w:t>1</w:t>
      </w:r>
      <w:r w:rsidR="00C17C13">
        <w:rPr>
          <w:lang w:eastAsia="zh-CN"/>
        </w:rPr>
        <w:fldChar w:fldCharType="end"/>
      </w:r>
      <w:r>
        <w:rPr>
          <w:lang w:eastAsia="zh-CN"/>
        </w:rPr>
        <w:t xml:space="preserve"> has the following advantages:</w:t>
      </w:r>
    </w:p>
    <w:p w14:paraId="345F7807" w14:textId="3E1B748C" w:rsidR="004F448A" w:rsidRDefault="00C24B3E" w:rsidP="00C24B3E">
      <w:pPr>
        <w:pStyle w:val="ListParagraph"/>
        <w:numPr>
          <w:ilvl w:val="0"/>
          <w:numId w:val="27"/>
        </w:numPr>
        <w:jc w:val="both"/>
        <w:rPr>
          <w:lang w:eastAsia="zh-CN"/>
        </w:rPr>
      </w:pPr>
      <w:r>
        <w:rPr>
          <w:lang w:eastAsia="zh-CN"/>
        </w:rPr>
        <w:t>It represents a reasonable emission mask for LAA operating in 5GHz band.</w:t>
      </w:r>
    </w:p>
    <w:p w14:paraId="3F2882D2" w14:textId="3E530609" w:rsidR="00C24B3E" w:rsidRDefault="00C24B3E" w:rsidP="00C24B3E">
      <w:pPr>
        <w:pStyle w:val="ListParagraph"/>
        <w:numPr>
          <w:ilvl w:val="0"/>
          <w:numId w:val="27"/>
        </w:numPr>
        <w:jc w:val="both"/>
        <w:rPr>
          <w:lang w:eastAsia="zh-CN"/>
        </w:rPr>
      </w:pPr>
      <w:r>
        <w:rPr>
          <w:lang w:eastAsia="zh-CN"/>
        </w:rPr>
        <w:t>It will allow to automatically fulfil regulatory requirements in all the regions adopting ETSI regulation.</w:t>
      </w:r>
    </w:p>
    <w:p w14:paraId="3827EBF2" w14:textId="196B5D39" w:rsidR="00C24B3E" w:rsidRDefault="00C24B3E" w:rsidP="00C24B3E">
      <w:pPr>
        <w:pStyle w:val="ListParagraph"/>
        <w:numPr>
          <w:ilvl w:val="0"/>
          <w:numId w:val="27"/>
        </w:numPr>
        <w:jc w:val="both"/>
        <w:rPr>
          <w:lang w:eastAsia="zh-CN"/>
        </w:rPr>
      </w:pPr>
      <w:r>
        <w:rPr>
          <w:lang w:eastAsia="zh-CN"/>
        </w:rPr>
        <w:t xml:space="preserve">Because the mask is very similar to the mask adopted in IEEE specification, it will allow to avoid unbalanced requirements compared to Wi-Fi specifications. </w:t>
      </w:r>
    </w:p>
    <w:p w14:paraId="52942C11" w14:textId="751338A7" w:rsidR="00C24B3E" w:rsidRDefault="00C24B3E" w:rsidP="00C24B3E">
      <w:pPr>
        <w:jc w:val="both"/>
        <w:rPr>
          <w:lang w:eastAsia="zh-CN"/>
        </w:rPr>
      </w:pPr>
      <w:r>
        <w:rPr>
          <w:lang w:eastAsia="zh-CN"/>
        </w:rPr>
        <w:t>Based on the above observations we make the following proposal:</w:t>
      </w:r>
    </w:p>
    <w:p w14:paraId="60961D5F" w14:textId="7A2BD3BE" w:rsidR="00EB5039" w:rsidRPr="00EB5039" w:rsidRDefault="00C24B3E" w:rsidP="00C24B3E">
      <w:pPr>
        <w:rPr>
          <w:b/>
          <w:i/>
        </w:rPr>
      </w:pPr>
      <w:r w:rsidRPr="00227191">
        <w:rPr>
          <w:b/>
          <w:i/>
        </w:rPr>
        <w:t xml:space="preserve">Proposal </w:t>
      </w:r>
      <w:r>
        <w:rPr>
          <w:b/>
          <w:i/>
        </w:rPr>
        <w:t>2</w:t>
      </w:r>
      <w:r w:rsidRPr="00227191">
        <w:rPr>
          <w:b/>
          <w:i/>
        </w:rPr>
        <w:t xml:space="preserve">: </w:t>
      </w:r>
      <w:r>
        <w:rPr>
          <w:b/>
          <w:i/>
        </w:rPr>
        <w:t>To adopt the t</w:t>
      </w:r>
      <w:r w:rsidR="00C17C13">
        <w:rPr>
          <w:b/>
          <w:i/>
        </w:rPr>
        <w:t xml:space="preserve">ransmit </w:t>
      </w:r>
      <w:r w:rsidRPr="00C24B3E">
        <w:rPr>
          <w:b/>
          <w:i/>
        </w:rPr>
        <w:t xml:space="preserve">spectral power mask </w:t>
      </w:r>
      <w:r>
        <w:rPr>
          <w:b/>
          <w:i/>
        </w:rPr>
        <w:t>defined</w:t>
      </w:r>
      <w:r w:rsidRPr="00C24B3E">
        <w:rPr>
          <w:b/>
          <w:i/>
        </w:rPr>
        <w:t xml:space="preserve"> ETSI EN 301 893 [8]</w:t>
      </w:r>
      <w:r>
        <w:rPr>
          <w:b/>
          <w:i/>
        </w:rPr>
        <w:t xml:space="preserve"> as Unwanted Emission Mask for LAA.</w:t>
      </w:r>
    </w:p>
    <w:p w14:paraId="309F2184" w14:textId="77777777" w:rsidR="00C24B3E" w:rsidRDefault="00C24B3E" w:rsidP="00C24B3E">
      <w:pPr>
        <w:jc w:val="both"/>
        <w:rPr>
          <w:lang w:eastAsia="zh-CN"/>
        </w:rPr>
      </w:pPr>
    </w:p>
    <w:p w14:paraId="7944EA07" w14:textId="77777777" w:rsidR="00C24B3E" w:rsidRDefault="00C24B3E" w:rsidP="00C24B3E">
      <w:pPr>
        <w:jc w:val="both"/>
        <w:rPr>
          <w:lang w:eastAsia="zh-CN"/>
        </w:rPr>
      </w:pPr>
    </w:p>
    <w:p w14:paraId="2EB84B03" w14:textId="082633CB" w:rsidR="00C24B3E" w:rsidRDefault="00C24B3E" w:rsidP="00C24B3E">
      <w:pPr>
        <w:keepNext/>
        <w:jc w:val="center"/>
      </w:pPr>
    </w:p>
    <w:tbl>
      <w:tblPr>
        <w:tblStyle w:val="TableGrid"/>
        <w:tblW w:w="0" w:type="auto"/>
        <w:tblLook w:val="04A0" w:firstRow="1" w:lastRow="0" w:firstColumn="1" w:lastColumn="0" w:noHBand="0" w:noVBand="1"/>
      </w:tblPr>
      <w:tblGrid>
        <w:gridCol w:w="4897"/>
        <w:gridCol w:w="4724"/>
      </w:tblGrid>
      <w:tr w:rsidR="00C17C13" w14:paraId="6FF5E44C" w14:textId="77777777" w:rsidTr="005B716C">
        <w:tc>
          <w:tcPr>
            <w:tcW w:w="9621" w:type="dxa"/>
            <w:gridSpan w:val="2"/>
          </w:tcPr>
          <w:p w14:paraId="26C1B2D2" w14:textId="3C9DA792" w:rsidR="00C17C13" w:rsidRPr="00C17C13" w:rsidRDefault="00C17C13" w:rsidP="00C17C13">
            <w:pPr>
              <w:rPr>
                <w:noProof/>
                <w:lang w:val="en-US"/>
              </w:rPr>
            </w:pPr>
            <w:r>
              <w:rPr>
                <w:noProof/>
                <w:lang w:val="en-US"/>
              </w:rPr>
              <w:drawing>
                <wp:inline distT="0" distB="0" distL="0" distR="0" wp14:anchorId="0732680E" wp14:editId="33CE96A9">
                  <wp:extent cx="5927391" cy="2918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7774" cy="2923572"/>
                          </a:xfrm>
                          <a:prstGeom prst="rect">
                            <a:avLst/>
                          </a:prstGeom>
                        </pic:spPr>
                      </pic:pic>
                    </a:graphicData>
                  </a:graphic>
                </wp:inline>
              </w:drawing>
            </w:r>
          </w:p>
        </w:tc>
      </w:tr>
      <w:tr w:rsidR="00C17C13" w14:paraId="7AD4F9B1" w14:textId="77777777" w:rsidTr="00C17C13">
        <w:tc>
          <w:tcPr>
            <w:tcW w:w="4897" w:type="dxa"/>
          </w:tcPr>
          <w:p w14:paraId="33BC4972" w14:textId="721F208B" w:rsidR="00C17C13" w:rsidRDefault="00C17C13" w:rsidP="00C17C13">
            <w:r w:rsidRPr="00C17C13">
              <w:rPr>
                <w:noProof/>
                <w:lang w:val="en-US"/>
              </w:rPr>
              <w:drawing>
                <wp:inline distT="0" distB="0" distL="0" distR="0" wp14:anchorId="2F306963" wp14:editId="5A8A21DA">
                  <wp:extent cx="3189182" cy="2362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6618" cy="2382521"/>
                          </a:xfrm>
                          <a:prstGeom prst="rect">
                            <a:avLst/>
                          </a:prstGeom>
                          <a:noFill/>
                          <a:ln>
                            <a:noFill/>
                          </a:ln>
                        </pic:spPr>
                      </pic:pic>
                    </a:graphicData>
                  </a:graphic>
                </wp:inline>
              </w:drawing>
            </w:r>
          </w:p>
        </w:tc>
        <w:tc>
          <w:tcPr>
            <w:tcW w:w="4724" w:type="dxa"/>
          </w:tcPr>
          <w:p w14:paraId="595A5E00" w14:textId="4FB160CA" w:rsidR="00C17C13" w:rsidRDefault="00C17C13" w:rsidP="00C17C13">
            <w:pPr>
              <w:keepNext/>
            </w:pPr>
            <w:r w:rsidRPr="00C17C13">
              <w:rPr>
                <w:noProof/>
                <w:lang w:val="en-US"/>
              </w:rPr>
              <w:drawing>
                <wp:inline distT="0" distB="0" distL="0" distR="0" wp14:anchorId="23D32A1A" wp14:editId="2BE8862E">
                  <wp:extent cx="3071115" cy="23469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0060" cy="2361438"/>
                          </a:xfrm>
                          <a:prstGeom prst="rect">
                            <a:avLst/>
                          </a:prstGeom>
                          <a:noFill/>
                          <a:ln>
                            <a:noFill/>
                          </a:ln>
                        </pic:spPr>
                      </pic:pic>
                    </a:graphicData>
                  </a:graphic>
                </wp:inline>
              </w:drawing>
            </w:r>
          </w:p>
        </w:tc>
      </w:tr>
    </w:tbl>
    <w:p w14:paraId="556479B2" w14:textId="28EAC66C" w:rsidR="00C17C13" w:rsidRPr="00C17C13" w:rsidRDefault="00C17C13" w:rsidP="00C17C13">
      <w:pPr>
        <w:pStyle w:val="Caption"/>
        <w:jc w:val="center"/>
      </w:pPr>
      <w:bookmarkStart w:id="2" w:name="_Ref434831569"/>
      <w:r>
        <w:t xml:space="preserve">Figure </w:t>
      </w:r>
      <w:r>
        <w:fldChar w:fldCharType="begin"/>
      </w:r>
      <w:r>
        <w:instrText xml:space="preserve"> SEQ Figure \* ARABIC </w:instrText>
      </w:r>
      <w:r>
        <w:fldChar w:fldCharType="separate"/>
      </w:r>
      <w:r w:rsidR="00917E02">
        <w:rPr>
          <w:noProof/>
        </w:rPr>
        <w:t>1</w:t>
      </w:r>
      <w:r>
        <w:fldChar w:fldCharType="end"/>
      </w:r>
      <w:bookmarkEnd w:id="2"/>
      <w:r>
        <w:t xml:space="preserve">. </w:t>
      </w:r>
      <w:r w:rsidRPr="00065F33">
        <w:t>Transmit spectral power mask from ETSI EN 301 893 [8]</w:t>
      </w:r>
      <w:r>
        <w:t>.</w:t>
      </w:r>
    </w:p>
    <w:p w14:paraId="750ED27C" w14:textId="77777777" w:rsidR="00C17C13" w:rsidRDefault="00C17C13" w:rsidP="00C17C13"/>
    <w:p w14:paraId="54ADDB21" w14:textId="5CA92BE0" w:rsidR="00C17C13" w:rsidRDefault="00C17C13" w:rsidP="00C17C13"/>
    <w:p w14:paraId="54D56F2A" w14:textId="1776A65E" w:rsidR="00C17C13" w:rsidRPr="00C17C13" w:rsidRDefault="00C17C13" w:rsidP="00C17C13"/>
    <w:p w14:paraId="617E0DE3" w14:textId="77777777" w:rsidR="00027F27" w:rsidRDefault="0069757C" w:rsidP="00027F27">
      <w:pPr>
        <w:pStyle w:val="Heading1"/>
      </w:pPr>
      <w:r>
        <w:t>Conclusion</w:t>
      </w:r>
    </w:p>
    <w:p w14:paraId="3BE7A7DD" w14:textId="21A43363" w:rsidR="00DA1C0B" w:rsidRDefault="00A32D26" w:rsidP="00C3370A">
      <w:pPr>
        <w:jc w:val="both"/>
      </w:pPr>
      <w:r>
        <w:t xml:space="preserve">In this contribution </w:t>
      </w:r>
      <w:r w:rsidR="005E04D0">
        <w:t xml:space="preserve">we </w:t>
      </w:r>
      <w:r w:rsidR="00A968E9">
        <w:t xml:space="preserve">focus on </w:t>
      </w:r>
      <w:r w:rsidR="00772359">
        <w:t xml:space="preserve">the </w:t>
      </w:r>
      <w:r w:rsidR="00A968E9">
        <w:t xml:space="preserve">BS requirements for 5GHz spectrum. Considering the specific nature of the unlicensed spectrum and the different interference scenarios compared to the licensed spectrum, we made the following </w:t>
      </w:r>
      <w:r w:rsidR="00C24B3E">
        <w:t>proposal for ACLR and UEM in 5GHz band</w:t>
      </w:r>
      <w:r w:rsidR="00A968E9">
        <w:t>:</w:t>
      </w:r>
      <w:r w:rsidR="0047457E">
        <w:t xml:space="preserve"> </w:t>
      </w:r>
    </w:p>
    <w:p w14:paraId="3FB2229E" w14:textId="77777777" w:rsidR="00C24B3E" w:rsidRPr="00227191" w:rsidRDefault="00C24B3E" w:rsidP="00C24B3E">
      <w:pPr>
        <w:rPr>
          <w:b/>
          <w:i/>
        </w:rPr>
      </w:pPr>
      <w:r w:rsidRPr="00227191">
        <w:rPr>
          <w:b/>
          <w:i/>
        </w:rPr>
        <w:t xml:space="preserve">Proposal 1: </w:t>
      </w:r>
      <w:r>
        <w:rPr>
          <w:b/>
          <w:i/>
        </w:rPr>
        <w:t>BS ACLR and CACLR for 5GHz band should be 30dB.</w:t>
      </w:r>
    </w:p>
    <w:p w14:paraId="212E71D5" w14:textId="77777777" w:rsidR="00C24B3E" w:rsidRPr="00227191" w:rsidRDefault="00C24B3E" w:rsidP="00C24B3E">
      <w:pPr>
        <w:rPr>
          <w:b/>
          <w:i/>
        </w:rPr>
      </w:pPr>
      <w:r w:rsidRPr="00227191">
        <w:rPr>
          <w:b/>
          <w:i/>
        </w:rPr>
        <w:t xml:space="preserve">Proposal </w:t>
      </w:r>
      <w:r>
        <w:rPr>
          <w:b/>
          <w:i/>
        </w:rPr>
        <w:t>2</w:t>
      </w:r>
      <w:r w:rsidRPr="00227191">
        <w:rPr>
          <w:b/>
          <w:i/>
        </w:rPr>
        <w:t xml:space="preserve">: </w:t>
      </w:r>
      <w:r>
        <w:rPr>
          <w:b/>
          <w:i/>
        </w:rPr>
        <w:t>To adopt the t</w:t>
      </w:r>
      <w:r w:rsidRPr="00C24B3E">
        <w:rPr>
          <w:b/>
          <w:i/>
        </w:rPr>
        <w:t xml:space="preserve">ransmit spectral power mask </w:t>
      </w:r>
      <w:r>
        <w:rPr>
          <w:b/>
          <w:i/>
        </w:rPr>
        <w:t>defined</w:t>
      </w:r>
      <w:r w:rsidRPr="00C24B3E">
        <w:rPr>
          <w:b/>
          <w:i/>
        </w:rPr>
        <w:t xml:space="preserve"> ETSI EN 301 893 [8]</w:t>
      </w:r>
      <w:r>
        <w:rPr>
          <w:b/>
          <w:i/>
        </w:rPr>
        <w:t xml:space="preserve"> as Unwanted Emission Mask for LAA.</w:t>
      </w:r>
    </w:p>
    <w:p w14:paraId="26135CF0" w14:textId="77777777" w:rsidR="00DA1C0B" w:rsidRPr="00DA1C0B" w:rsidRDefault="00DA1C0B" w:rsidP="005A049E">
      <w:pPr>
        <w:rPr>
          <w:b/>
          <w:i/>
          <w:lang w:val="en-US"/>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lastRenderedPageBreak/>
        <w:t>Reference</w:t>
      </w:r>
    </w:p>
    <w:p w14:paraId="1D4BF52C" w14:textId="77777777" w:rsidR="00DA27A7" w:rsidRDefault="00DA27A7" w:rsidP="00DA27A7">
      <w:pPr>
        <w:numPr>
          <w:ilvl w:val="0"/>
          <w:numId w:val="2"/>
        </w:numPr>
        <w:tabs>
          <w:tab w:val="left" w:pos="1080"/>
        </w:tabs>
        <w:rPr>
          <w:lang w:val="en-US"/>
        </w:rPr>
      </w:pPr>
      <w:bookmarkStart w:id="3" w:name="_Ref425857735"/>
      <w:r w:rsidRPr="00DA27A7">
        <w:rPr>
          <w:lang w:val="en-US"/>
        </w:rPr>
        <w:t>3GPP TR 36.889 V13.0.0 (2015-06)</w:t>
      </w:r>
      <w:r>
        <w:rPr>
          <w:lang w:val="en-US"/>
        </w:rPr>
        <w:t>, “</w:t>
      </w:r>
      <w:r>
        <w:rPr>
          <w:rFonts w:eastAsia="MS Mincho"/>
        </w:rPr>
        <w:t>Study on Licensed-Assisted Access to Unlicensed Spectrum</w:t>
      </w:r>
      <w:r>
        <w:rPr>
          <w:lang w:val="en-US"/>
        </w:rPr>
        <w:t>”.</w:t>
      </w:r>
      <w:bookmarkEnd w:id="3"/>
    </w:p>
    <w:p w14:paraId="1C8F7B0A" w14:textId="2A6BFE77" w:rsidR="00AA31BA" w:rsidRDefault="00AA31BA" w:rsidP="00AA31BA">
      <w:pPr>
        <w:numPr>
          <w:ilvl w:val="0"/>
          <w:numId w:val="2"/>
        </w:numPr>
        <w:tabs>
          <w:tab w:val="left" w:pos="1080"/>
        </w:tabs>
        <w:rPr>
          <w:lang w:val="en-US"/>
        </w:rPr>
      </w:pPr>
      <w:bookmarkStart w:id="4" w:name="_Ref431825203"/>
      <w:r>
        <w:rPr>
          <w:lang w:val="en-US"/>
        </w:rPr>
        <w:t>R4-154653, “</w:t>
      </w:r>
      <w:r w:rsidRPr="00AA31BA">
        <w:rPr>
          <w:lang w:val="en-US"/>
        </w:rPr>
        <w:t>eNodeB ALCR requirement in 5GHz</w:t>
      </w:r>
      <w:r>
        <w:rPr>
          <w:lang w:val="en-US"/>
        </w:rPr>
        <w:t xml:space="preserve">”, Qualcomm </w:t>
      </w:r>
      <w:r w:rsidR="00835AF8">
        <w:rPr>
          <w:lang w:val="en-US"/>
        </w:rPr>
        <w:t>Incorporated</w:t>
      </w:r>
      <w:r>
        <w:rPr>
          <w:lang w:val="en-US"/>
        </w:rPr>
        <w:t>.</w:t>
      </w:r>
      <w:bookmarkEnd w:id="4"/>
    </w:p>
    <w:p w14:paraId="5D5B0E5E" w14:textId="77777777" w:rsidR="00AA31BA" w:rsidRDefault="00AA31BA" w:rsidP="00AA31BA">
      <w:pPr>
        <w:numPr>
          <w:ilvl w:val="0"/>
          <w:numId w:val="2"/>
        </w:numPr>
        <w:tabs>
          <w:tab w:val="left" w:pos="1080"/>
        </w:tabs>
        <w:rPr>
          <w:lang w:val="en-US"/>
        </w:rPr>
      </w:pPr>
      <w:bookmarkStart w:id="5" w:name="_Ref431825207"/>
      <w:r>
        <w:rPr>
          <w:lang w:val="en-US"/>
        </w:rPr>
        <w:t>R4-154895, “</w:t>
      </w:r>
      <w:r w:rsidRPr="00AA31BA">
        <w:rPr>
          <w:lang w:val="en-US"/>
        </w:rPr>
        <w:t>Suitable RF requirements for LAA BS</w:t>
      </w:r>
      <w:r>
        <w:rPr>
          <w:lang w:val="en-US"/>
        </w:rPr>
        <w:t>”, Ericsson.</w:t>
      </w:r>
      <w:bookmarkEnd w:id="5"/>
    </w:p>
    <w:p w14:paraId="2BCE587F" w14:textId="77777777" w:rsidR="00AA31BA" w:rsidRDefault="00AA31BA" w:rsidP="00AA31BA">
      <w:pPr>
        <w:numPr>
          <w:ilvl w:val="0"/>
          <w:numId w:val="2"/>
        </w:numPr>
        <w:tabs>
          <w:tab w:val="left" w:pos="1080"/>
        </w:tabs>
        <w:rPr>
          <w:lang w:val="en-US"/>
        </w:rPr>
      </w:pPr>
      <w:bookmarkStart w:id="6" w:name="_Ref431825209"/>
      <w:r>
        <w:rPr>
          <w:lang w:val="en-US"/>
        </w:rPr>
        <w:t>R4-154698, “</w:t>
      </w:r>
      <w:r w:rsidRPr="00AA31BA">
        <w:rPr>
          <w:lang w:val="en-US"/>
        </w:rPr>
        <w:t>On BS ACLR requirement for LAA</w:t>
      </w:r>
      <w:r>
        <w:rPr>
          <w:lang w:val="en-US"/>
        </w:rPr>
        <w:t>”, Huawei.</w:t>
      </w:r>
      <w:bookmarkEnd w:id="6"/>
    </w:p>
    <w:p w14:paraId="3BC306E6" w14:textId="1B1FD3F4" w:rsidR="00AA31BA" w:rsidRDefault="00AA31BA" w:rsidP="00AA31BA">
      <w:pPr>
        <w:numPr>
          <w:ilvl w:val="0"/>
          <w:numId w:val="2"/>
        </w:numPr>
        <w:tabs>
          <w:tab w:val="left" w:pos="1080"/>
        </w:tabs>
        <w:rPr>
          <w:lang w:val="en-US"/>
        </w:rPr>
      </w:pPr>
      <w:bookmarkStart w:id="7" w:name="_Ref431825210"/>
      <w:r>
        <w:rPr>
          <w:lang w:val="en-US"/>
        </w:rPr>
        <w:t>R4-154882, “</w:t>
      </w:r>
      <w:r w:rsidRPr="00AA31BA">
        <w:rPr>
          <w:lang w:val="en-US"/>
        </w:rPr>
        <w:t>BS ACLR consideration for LAA</w:t>
      </w:r>
      <w:r>
        <w:rPr>
          <w:lang w:val="en-US"/>
        </w:rPr>
        <w:t>”, Nokia Networks.</w:t>
      </w:r>
      <w:bookmarkEnd w:id="7"/>
      <w:r>
        <w:rPr>
          <w:lang w:val="en-US"/>
        </w:rPr>
        <w:t xml:space="preserve">   </w:t>
      </w:r>
    </w:p>
    <w:p w14:paraId="409B0769" w14:textId="77777777" w:rsidR="004F448A" w:rsidRDefault="004F448A" w:rsidP="004F448A">
      <w:pPr>
        <w:numPr>
          <w:ilvl w:val="0"/>
          <w:numId w:val="2"/>
        </w:numPr>
        <w:tabs>
          <w:tab w:val="left" w:pos="1080"/>
        </w:tabs>
        <w:rPr>
          <w:lang w:val="en-US"/>
        </w:rPr>
      </w:pPr>
      <w:bookmarkStart w:id="8" w:name="_Ref434824529"/>
      <w:r>
        <w:rPr>
          <w:lang w:val="en-US"/>
        </w:rPr>
        <w:t>R4-155500, “On BS emission mask requirement for LAA”, Huawei.</w:t>
      </w:r>
      <w:bookmarkEnd w:id="8"/>
    </w:p>
    <w:p w14:paraId="16782495" w14:textId="77777777" w:rsidR="004F448A" w:rsidRDefault="004F448A" w:rsidP="004F448A">
      <w:pPr>
        <w:numPr>
          <w:ilvl w:val="0"/>
          <w:numId w:val="2"/>
        </w:numPr>
        <w:tabs>
          <w:tab w:val="left" w:pos="1080"/>
        </w:tabs>
        <w:rPr>
          <w:lang w:val="en-US"/>
        </w:rPr>
      </w:pPr>
      <w:bookmarkStart w:id="9" w:name="_Ref434824654"/>
      <w:r w:rsidRPr="004F448A">
        <w:rPr>
          <w:lang w:val="en-US"/>
        </w:rPr>
        <w:t>R4-156792</w:t>
      </w:r>
      <w:r>
        <w:rPr>
          <w:lang w:val="en-US"/>
        </w:rPr>
        <w:t>, “</w:t>
      </w:r>
      <w:r w:rsidRPr="004F448A">
        <w:rPr>
          <w:lang w:val="en-US"/>
        </w:rPr>
        <w:t>WF on BS emission mask and ACLR requirement for LAA</w:t>
      </w:r>
      <w:r>
        <w:rPr>
          <w:lang w:val="en-US"/>
        </w:rPr>
        <w:t>”</w:t>
      </w:r>
      <w:r w:rsidRPr="004F448A">
        <w:rPr>
          <w:lang w:val="en-US"/>
        </w:rPr>
        <w:t>,</w:t>
      </w:r>
      <w:r>
        <w:rPr>
          <w:lang w:val="en-US"/>
        </w:rPr>
        <w:t xml:space="preserve"> Huawei, Ericsson.</w:t>
      </w:r>
      <w:bookmarkEnd w:id="9"/>
    </w:p>
    <w:p w14:paraId="7E63F71D" w14:textId="4DD90450" w:rsidR="004F448A" w:rsidRPr="00C24B3E" w:rsidRDefault="00C24B3E" w:rsidP="00CF195A">
      <w:pPr>
        <w:pStyle w:val="EX"/>
        <w:numPr>
          <w:ilvl w:val="0"/>
          <w:numId w:val="2"/>
        </w:numPr>
        <w:tabs>
          <w:tab w:val="left" w:pos="142"/>
          <w:tab w:val="left" w:pos="426"/>
        </w:tabs>
        <w:rPr>
          <w:color w:val="000000"/>
          <w:lang w:eastAsia="zh-CN"/>
        </w:rPr>
      </w:pPr>
      <w:bookmarkStart w:id="10" w:name="_Ref434825866"/>
      <w:bookmarkStart w:id="11" w:name="_Ref434826412"/>
      <w:r>
        <w:t>ETSI EN 301 893 V1.8.1 (2015-03)</w:t>
      </w:r>
      <w:bookmarkEnd w:id="10"/>
      <w:r>
        <w:rPr>
          <w:lang w:eastAsia="zh-CN"/>
        </w:rPr>
        <w:t>, “Broadband Radio Access Networks (BRAN); 5 GHz high performance RLAN; Harmonized EN covering the essential requirements of article 3.2 of the R&amp;TTE Directive”.</w:t>
      </w:r>
      <w:bookmarkEnd w:id="11"/>
    </w:p>
    <w:p w14:paraId="72FE2C05" w14:textId="77777777" w:rsidR="004F448A" w:rsidRPr="004F448A" w:rsidRDefault="004F448A" w:rsidP="00C24B3E">
      <w:pPr>
        <w:tabs>
          <w:tab w:val="left" w:pos="1080"/>
        </w:tabs>
        <w:ind w:left="360"/>
        <w:rPr>
          <w:lang w:val="en-US"/>
        </w:rPr>
      </w:pPr>
    </w:p>
    <w:sectPr w:rsidR="004F448A" w:rsidRPr="004F448A"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E607D" w14:textId="77777777" w:rsidR="006134F8" w:rsidRDefault="006134F8">
      <w:r>
        <w:separator/>
      </w:r>
    </w:p>
  </w:endnote>
  <w:endnote w:type="continuationSeparator" w:id="0">
    <w:p w14:paraId="26A1ED07" w14:textId="77777777" w:rsidR="006134F8" w:rsidRDefault="0061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C35CD2" w:rsidRDefault="00C35C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209E6">
      <w:rPr>
        <w:rStyle w:val="PageNumber"/>
      </w:rPr>
      <w:t>4</w:t>
    </w:r>
    <w:r>
      <w:rPr>
        <w:rStyle w:val="PageNumber"/>
      </w:rPr>
      <w:fldChar w:fldCharType="end"/>
    </w:r>
  </w:p>
  <w:p w14:paraId="40DAC66D" w14:textId="77777777" w:rsidR="00C35CD2" w:rsidRDefault="00C35C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A4F3C" w14:textId="77777777" w:rsidR="006134F8" w:rsidRDefault="006134F8">
      <w:r>
        <w:separator/>
      </w:r>
    </w:p>
  </w:footnote>
  <w:footnote w:type="continuationSeparator" w:id="0">
    <w:p w14:paraId="445D24B6" w14:textId="77777777" w:rsidR="006134F8" w:rsidRDefault="006134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977F8"/>
    <w:multiLevelType w:val="hybridMultilevel"/>
    <w:tmpl w:val="504CC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9464F"/>
    <w:multiLevelType w:val="hybridMultilevel"/>
    <w:tmpl w:val="28606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D1F661D"/>
    <w:multiLevelType w:val="hybridMultilevel"/>
    <w:tmpl w:val="5F944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B328A"/>
    <w:multiLevelType w:val="hybridMultilevel"/>
    <w:tmpl w:val="4AA4D214"/>
    <w:lvl w:ilvl="0" w:tplc="EF1A795C">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B411167"/>
    <w:multiLevelType w:val="hybridMultilevel"/>
    <w:tmpl w:val="91BC74A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2"/>
  </w:num>
  <w:num w:numId="3">
    <w:abstractNumId w:val="24"/>
  </w:num>
  <w:num w:numId="4">
    <w:abstractNumId w:val="25"/>
  </w:num>
  <w:num w:numId="5">
    <w:abstractNumId w:val="19"/>
  </w:num>
  <w:num w:numId="6">
    <w:abstractNumId w:val="11"/>
  </w:num>
  <w:num w:numId="7">
    <w:abstractNumId w:val="3"/>
  </w:num>
  <w:num w:numId="8">
    <w:abstractNumId w:val="23"/>
  </w:num>
  <w:num w:numId="9">
    <w:abstractNumId w:val="12"/>
  </w:num>
  <w:num w:numId="10">
    <w:abstractNumId w:val="17"/>
  </w:num>
  <w:num w:numId="11">
    <w:abstractNumId w:val="26"/>
  </w:num>
  <w:num w:numId="12">
    <w:abstractNumId w:val="2"/>
  </w:num>
  <w:num w:numId="13">
    <w:abstractNumId w:val="14"/>
  </w:num>
  <w:num w:numId="14">
    <w:abstractNumId w:val="13"/>
  </w:num>
  <w:num w:numId="15">
    <w:abstractNumId w:val="0"/>
  </w:num>
  <w:num w:numId="16">
    <w:abstractNumId w:val="9"/>
  </w:num>
  <w:num w:numId="17">
    <w:abstractNumId w:val="4"/>
  </w:num>
  <w:num w:numId="18">
    <w:abstractNumId w:val="5"/>
  </w:num>
  <w:num w:numId="19">
    <w:abstractNumId w:val="21"/>
  </w:num>
  <w:num w:numId="20">
    <w:abstractNumId w:val="10"/>
  </w:num>
  <w:num w:numId="21">
    <w:abstractNumId w:val="8"/>
  </w:num>
  <w:num w:numId="22">
    <w:abstractNumId w:val="1"/>
  </w:num>
  <w:num w:numId="23">
    <w:abstractNumId w:val="16"/>
  </w:num>
  <w:num w:numId="24">
    <w:abstractNumId w:val="6"/>
  </w:num>
  <w:num w:numId="25">
    <w:abstractNumId w:val="7"/>
  </w:num>
  <w:num w:numId="26">
    <w:abstractNumId w:val="18"/>
  </w:num>
  <w:num w:numId="27">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6F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7EE"/>
    <w:rsid w:val="00150F51"/>
    <w:rsid w:val="001516D8"/>
    <w:rsid w:val="00151825"/>
    <w:rsid w:val="00151ABA"/>
    <w:rsid w:val="0015239C"/>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1016"/>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C22CF"/>
    <w:rsid w:val="001C34BA"/>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749B"/>
    <w:rsid w:val="002175F8"/>
    <w:rsid w:val="00220952"/>
    <w:rsid w:val="00221BA7"/>
    <w:rsid w:val="002247C0"/>
    <w:rsid w:val="00227191"/>
    <w:rsid w:val="00230C94"/>
    <w:rsid w:val="00230EB7"/>
    <w:rsid w:val="00230EC6"/>
    <w:rsid w:val="00231913"/>
    <w:rsid w:val="00234C5F"/>
    <w:rsid w:val="00236663"/>
    <w:rsid w:val="00236C6E"/>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805"/>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1D83"/>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D82"/>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794"/>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BCB"/>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57E"/>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4DC7"/>
    <w:rsid w:val="004B50D1"/>
    <w:rsid w:val="004B55C6"/>
    <w:rsid w:val="004B6441"/>
    <w:rsid w:val="004B64D8"/>
    <w:rsid w:val="004B7689"/>
    <w:rsid w:val="004C01F2"/>
    <w:rsid w:val="004C0D02"/>
    <w:rsid w:val="004C149D"/>
    <w:rsid w:val="004C1A8E"/>
    <w:rsid w:val="004C226E"/>
    <w:rsid w:val="004C288B"/>
    <w:rsid w:val="004C321F"/>
    <w:rsid w:val="004C6A32"/>
    <w:rsid w:val="004C6DCA"/>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48A"/>
    <w:rsid w:val="004F4B02"/>
    <w:rsid w:val="004F4FB8"/>
    <w:rsid w:val="004F54DD"/>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09D6"/>
    <w:rsid w:val="0056188B"/>
    <w:rsid w:val="00562C3D"/>
    <w:rsid w:val="00563F76"/>
    <w:rsid w:val="005648D7"/>
    <w:rsid w:val="00565866"/>
    <w:rsid w:val="0056619A"/>
    <w:rsid w:val="0056774B"/>
    <w:rsid w:val="00570586"/>
    <w:rsid w:val="005719CC"/>
    <w:rsid w:val="00571CF8"/>
    <w:rsid w:val="00572669"/>
    <w:rsid w:val="00574170"/>
    <w:rsid w:val="00574420"/>
    <w:rsid w:val="00575ED0"/>
    <w:rsid w:val="00576D83"/>
    <w:rsid w:val="00577621"/>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14B"/>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4F8"/>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5CF"/>
    <w:rsid w:val="00643CD3"/>
    <w:rsid w:val="006445E9"/>
    <w:rsid w:val="00644C82"/>
    <w:rsid w:val="0064505F"/>
    <w:rsid w:val="00650B89"/>
    <w:rsid w:val="006523AD"/>
    <w:rsid w:val="006523C6"/>
    <w:rsid w:val="0065251A"/>
    <w:rsid w:val="00652BD8"/>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59A6"/>
    <w:rsid w:val="00686AB1"/>
    <w:rsid w:val="00686C73"/>
    <w:rsid w:val="0069074E"/>
    <w:rsid w:val="00690ECD"/>
    <w:rsid w:val="006913F1"/>
    <w:rsid w:val="0069257A"/>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2020"/>
    <w:rsid w:val="006D3D0F"/>
    <w:rsid w:val="006D4A70"/>
    <w:rsid w:val="006D54CC"/>
    <w:rsid w:val="006D7134"/>
    <w:rsid w:val="006D7813"/>
    <w:rsid w:val="006D7BD9"/>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2EA"/>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7096"/>
    <w:rsid w:val="00757F25"/>
    <w:rsid w:val="007601B6"/>
    <w:rsid w:val="0076167E"/>
    <w:rsid w:val="007620EB"/>
    <w:rsid w:val="0076227C"/>
    <w:rsid w:val="00762588"/>
    <w:rsid w:val="0076433C"/>
    <w:rsid w:val="0076609A"/>
    <w:rsid w:val="007663F2"/>
    <w:rsid w:val="00770C66"/>
    <w:rsid w:val="007719DB"/>
    <w:rsid w:val="00772359"/>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AF8"/>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E01"/>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771"/>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7ED"/>
    <w:rsid w:val="0090797F"/>
    <w:rsid w:val="00907CFC"/>
    <w:rsid w:val="00911040"/>
    <w:rsid w:val="00912095"/>
    <w:rsid w:val="00912569"/>
    <w:rsid w:val="009136DA"/>
    <w:rsid w:val="00913FF8"/>
    <w:rsid w:val="0091417E"/>
    <w:rsid w:val="00914799"/>
    <w:rsid w:val="00914A3A"/>
    <w:rsid w:val="00914C2B"/>
    <w:rsid w:val="009159CA"/>
    <w:rsid w:val="00917B84"/>
    <w:rsid w:val="00917E02"/>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34FF"/>
    <w:rsid w:val="009F4335"/>
    <w:rsid w:val="009F475D"/>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728D"/>
    <w:rsid w:val="00A10771"/>
    <w:rsid w:val="00A10D63"/>
    <w:rsid w:val="00A13382"/>
    <w:rsid w:val="00A13CF6"/>
    <w:rsid w:val="00A13D4D"/>
    <w:rsid w:val="00A14118"/>
    <w:rsid w:val="00A14E3E"/>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68E9"/>
    <w:rsid w:val="00A971F8"/>
    <w:rsid w:val="00A9739A"/>
    <w:rsid w:val="00A97B21"/>
    <w:rsid w:val="00AA04D8"/>
    <w:rsid w:val="00AA145D"/>
    <w:rsid w:val="00AA1A94"/>
    <w:rsid w:val="00AA1CC0"/>
    <w:rsid w:val="00AA2A27"/>
    <w:rsid w:val="00AA31BA"/>
    <w:rsid w:val="00AA3476"/>
    <w:rsid w:val="00AA397D"/>
    <w:rsid w:val="00AA490F"/>
    <w:rsid w:val="00AA4CA3"/>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D6FFE"/>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568"/>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F9B"/>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7BB5"/>
    <w:rsid w:val="00BF0A47"/>
    <w:rsid w:val="00BF117A"/>
    <w:rsid w:val="00BF3A02"/>
    <w:rsid w:val="00BF40A8"/>
    <w:rsid w:val="00BF49E1"/>
    <w:rsid w:val="00BF69EA"/>
    <w:rsid w:val="00BF6D33"/>
    <w:rsid w:val="00BF747F"/>
    <w:rsid w:val="00C00F79"/>
    <w:rsid w:val="00C01B14"/>
    <w:rsid w:val="00C021AE"/>
    <w:rsid w:val="00C036B6"/>
    <w:rsid w:val="00C046A0"/>
    <w:rsid w:val="00C04709"/>
    <w:rsid w:val="00C04A67"/>
    <w:rsid w:val="00C07E50"/>
    <w:rsid w:val="00C07FC4"/>
    <w:rsid w:val="00C11D7B"/>
    <w:rsid w:val="00C12625"/>
    <w:rsid w:val="00C12B01"/>
    <w:rsid w:val="00C141EB"/>
    <w:rsid w:val="00C14BAC"/>
    <w:rsid w:val="00C15058"/>
    <w:rsid w:val="00C15413"/>
    <w:rsid w:val="00C15D84"/>
    <w:rsid w:val="00C175A7"/>
    <w:rsid w:val="00C175EC"/>
    <w:rsid w:val="00C17C13"/>
    <w:rsid w:val="00C205E5"/>
    <w:rsid w:val="00C20D53"/>
    <w:rsid w:val="00C21180"/>
    <w:rsid w:val="00C2185A"/>
    <w:rsid w:val="00C221C5"/>
    <w:rsid w:val="00C226F3"/>
    <w:rsid w:val="00C23E40"/>
    <w:rsid w:val="00C24B3E"/>
    <w:rsid w:val="00C24DDB"/>
    <w:rsid w:val="00C260C6"/>
    <w:rsid w:val="00C26CA1"/>
    <w:rsid w:val="00C27465"/>
    <w:rsid w:val="00C27668"/>
    <w:rsid w:val="00C278D5"/>
    <w:rsid w:val="00C27F21"/>
    <w:rsid w:val="00C31031"/>
    <w:rsid w:val="00C3226D"/>
    <w:rsid w:val="00C32323"/>
    <w:rsid w:val="00C332D0"/>
    <w:rsid w:val="00C3370A"/>
    <w:rsid w:val="00C3463A"/>
    <w:rsid w:val="00C346C4"/>
    <w:rsid w:val="00C35CD2"/>
    <w:rsid w:val="00C37693"/>
    <w:rsid w:val="00C3796D"/>
    <w:rsid w:val="00C42DA4"/>
    <w:rsid w:val="00C42FFC"/>
    <w:rsid w:val="00C4302C"/>
    <w:rsid w:val="00C431E3"/>
    <w:rsid w:val="00C432F5"/>
    <w:rsid w:val="00C43598"/>
    <w:rsid w:val="00C44FE4"/>
    <w:rsid w:val="00C47419"/>
    <w:rsid w:val="00C517EC"/>
    <w:rsid w:val="00C51B95"/>
    <w:rsid w:val="00C52110"/>
    <w:rsid w:val="00C52CCA"/>
    <w:rsid w:val="00C5319F"/>
    <w:rsid w:val="00C541D2"/>
    <w:rsid w:val="00C56370"/>
    <w:rsid w:val="00C56960"/>
    <w:rsid w:val="00C571F6"/>
    <w:rsid w:val="00C5751B"/>
    <w:rsid w:val="00C615C8"/>
    <w:rsid w:val="00C621BA"/>
    <w:rsid w:val="00C6377E"/>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293"/>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6E9"/>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2596"/>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9E6"/>
    <w:rsid w:val="00E21234"/>
    <w:rsid w:val="00E212D0"/>
    <w:rsid w:val="00E246DB"/>
    <w:rsid w:val="00E25241"/>
    <w:rsid w:val="00E2797A"/>
    <w:rsid w:val="00E30460"/>
    <w:rsid w:val="00E31E1A"/>
    <w:rsid w:val="00E31F40"/>
    <w:rsid w:val="00E33CB9"/>
    <w:rsid w:val="00E33DE2"/>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2C3"/>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94F"/>
    <w:rsid w:val="00EB3C09"/>
    <w:rsid w:val="00EB420B"/>
    <w:rsid w:val="00EB43BD"/>
    <w:rsid w:val="00EB5039"/>
    <w:rsid w:val="00EB5C05"/>
    <w:rsid w:val="00EB668F"/>
    <w:rsid w:val="00EB6EEC"/>
    <w:rsid w:val="00EB793A"/>
    <w:rsid w:val="00EC0C2B"/>
    <w:rsid w:val="00EC1777"/>
    <w:rsid w:val="00EC2383"/>
    <w:rsid w:val="00EC28AB"/>
    <w:rsid w:val="00EC3E19"/>
    <w:rsid w:val="00EC4022"/>
    <w:rsid w:val="00EC4B14"/>
    <w:rsid w:val="00EC5024"/>
    <w:rsid w:val="00EC5BCB"/>
    <w:rsid w:val="00EC7302"/>
    <w:rsid w:val="00EC73C4"/>
    <w:rsid w:val="00EC797C"/>
    <w:rsid w:val="00ED0CC3"/>
    <w:rsid w:val="00ED33CC"/>
    <w:rsid w:val="00ED444D"/>
    <w:rsid w:val="00ED5874"/>
    <w:rsid w:val="00ED5C02"/>
    <w:rsid w:val="00ED67BD"/>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86D"/>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2867"/>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D3FA0"/>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06273448">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131325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7CA39EB-60D8-4D03-AD46-64193290D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556</TotalTime>
  <Pages>4</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29</cp:revision>
  <cp:lastPrinted>2015-11-09T19:31:00Z</cp:lastPrinted>
  <dcterms:created xsi:type="dcterms:W3CDTF">2015-08-04T14:13:00Z</dcterms:created>
  <dcterms:modified xsi:type="dcterms:W3CDTF">2015-11-09T21:51:00Z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